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8B" w:rsidRPr="00F3238B" w:rsidRDefault="00F3238B" w:rsidP="00F3238B">
      <w:pPr>
        <w:jc w:val="both"/>
        <w:rPr>
          <w:rFonts w:ascii="Times New Roman" w:hAnsi="Times New Roman" w:cs="Times New Roman"/>
          <w:b/>
          <w:bCs/>
          <w:lang w:val="uk-UA"/>
        </w:rPr>
      </w:pPr>
      <w:r>
        <w:rPr>
          <w:rFonts w:ascii="Times New Roman" w:hAnsi="Times New Roman" w:cs="Times New Roman"/>
          <w:b/>
          <w:bCs/>
          <w:lang w:val="uk-UA"/>
        </w:rPr>
        <w:t xml:space="preserve">ПРИВАТНЕ </w:t>
      </w:r>
      <w:r w:rsidRPr="00F3238B">
        <w:rPr>
          <w:rFonts w:ascii="Times New Roman" w:hAnsi="Times New Roman" w:cs="Times New Roman"/>
          <w:b/>
          <w:bCs/>
          <w:lang w:val="uk-UA"/>
        </w:rPr>
        <w:t>АКЦІОНЕРНЕ ТОВАРИСТВО «</w:t>
      </w:r>
      <w:r>
        <w:rPr>
          <w:rFonts w:ascii="Times New Roman" w:hAnsi="Times New Roman" w:cs="Times New Roman"/>
          <w:b/>
          <w:bCs/>
          <w:lang w:val="uk-UA"/>
        </w:rPr>
        <w:t>ІВАНО-ФРАНКІВСЬКГОЛОВПОСТАЧ</w:t>
      </w:r>
      <w:r w:rsidRPr="00F3238B">
        <w:rPr>
          <w:rFonts w:ascii="Times New Roman" w:hAnsi="Times New Roman" w:cs="Times New Roman"/>
          <w:b/>
          <w:bCs/>
          <w:lang w:val="uk-UA"/>
        </w:rPr>
        <w:t xml:space="preserve">» повідомляє, що </w:t>
      </w:r>
      <w:r>
        <w:rPr>
          <w:rFonts w:ascii="Times New Roman" w:hAnsi="Times New Roman" w:cs="Times New Roman"/>
          <w:b/>
          <w:bCs/>
          <w:lang w:val="uk-UA"/>
        </w:rPr>
        <w:t>02</w:t>
      </w:r>
      <w:r w:rsidRPr="00F3238B">
        <w:rPr>
          <w:rFonts w:ascii="Times New Roman" w:hAnsi="Times New Roman" w:cs="Times New Roman"/>
          <w:b/>
          <w:bCs/>
          <w:lang w:val="uk-UA"/>
        </w:rPr>
        <w:t>.</w:t>
      </w:r>
      <w:r>
        <w:rPr>
          <w:rFonts w:ascii="Times New Roman" w:hAnsi="Times New Roman" w:cs="Times New Roman"/>
          <w:b/>
          <w:bCs/>
          <w:lang w:val="uk-UA"/>
        </w:rPr>
        <w:t>12.2020</w:t>
      </w:r>
      <w:r w:rsidRPr="00F3238B">
        <w:rPr>
          <w:rFonts w:ascii="Times New Roman" w:hAnsi="Times New Roman" w:cs="Times New Roman"/>
          <w:b/>
          <w:bCs/>
          <w:lang w:val="uk-UA"/>
        </w:rPr>
        <w:t xml:space="preserve"> року було отримане повідомлення від</w:t>
      </w:r>
      <w:r>
        <w:rPr>
          <w:rFonts w:ascii="Times New Roman" w:hAnsi="Times New Roman" w:cs="Times New Roman"/>
          <w:b/>
          <w:bCs/>
          <w:lang w:val="uk-UA"/>
        </w:rPr>
        <w:t xml:space="preserve"> </w:t>
      </w:r>
      <w:proofErr w:type="spellStart"/>
      <w:r>
        <w:rPr>
          <w:rFonts w:ascii="Times New Roman" w:hAnsi="Times New Roman" w:cs="Times New Roman"/>
          <w:b/>
          <w:bCs/>
          <w:lang w:val="uk-UA"/>
        </w:rPr>
        <w:t>Гільдіна</w:t>
      </w:r>
      <w:proofErr w:type="spellEnd"/>
      <w:r>
        <w:rPr>
          <w:rFonts w:ascii="Times New Roman" w:hAnsi="Times New Roman" w:cs="Times New Roman"/>
          <w:b/>
          <w:bCs/>
          <w:lang w:val="uk-UA"/>
        </w:rPr>
        <w:t xml:space="preserve"> Олега Ігоровича</w:t>
      </w:r>
      <w:r w:rsidRPr="00F3238B">
        <w:rPr>
          <w:rFonts w:ascii="Times New Roman" w:hAnsi="Times New Roman" w:cs="Times New Roman"/>
          <w:b/>
          <w:bCs/>
          <w:lang w:val="uk-UA"/>
        </w:rPr>
        <w:t xml:space="preserve"> про набуття права власності на домінуючий контрольний пакет акцій </w:t>
      </w:r>
      <w:r>
        <w:rPr>
          <w:rFonts w:ascii="Times New Roman" w:hAnsi="Times New Roman" w:cs="Times New Roman"/>
          <w:b/>
          <w:bCs/>
          <w:lang w:val="uk-UA"/>
        </w:rPr>
        <w:t xml:space="preserve">ПРИВАТНОГО </w:t>
      </w:r>
      <w:r w:rsidRPr="00F3238B">
        <w:rPr>
          <w:rFonts w:ascii="Times New Roman" w:hAnsi="Times New Roman" w:cs="Times New Roman"/>
          <w:b/>
          <w:bCs/>
          <w:lang w:val="uk-UA"/>
        </w:rPr>
        <w:t>АКЦІОНЕРНОГО ТОВАРИСТВА «</w:t>
      </w:r>
      <w:r>
        <w:rPr>
          <w:rFonts w:ascii="Times New Roman" w:hAnsi="Times New Roman" w:cs="Times New Roman"/>
          <w:b/>
          <w:bCs/>
          <w:lang w:val="uk-UA"/>
        </w:rPr>
        <w:t>Івано-</w:t>
      </w:r>
      <w:proofErr w:type="spellStart"/>
      <w:r>
        <w:rPr>
          <w:rFonts w:ascii="Times New Roman" w:hAnsi="Times New Roman" w:cs="Times New Roman"/>
          <w:b/>
          <w:bCs/>
          <w:lang w:val="uk-UA"/>
        </w:rPr>
        <w:t>Франківськголовпостач</w:t>
      </w:r>
      <w:proofErr w:type="spellEnd"/>
      <w:r w:rsidRPr="00F3238B">
        <w:rPr>
          <w:rFonts w:ascii="Times New Roman" w:hAnsi="Times New Roman" w:cs="Times New Roman"/>
          <w:b/>
          <w:bCs/>
          <w:lang w:val="uk-UA"/>
        </w:rPr>
        <w:t>» (</w:t>
      </w:r>
      <w:proofErr w:type="spellStart"/>
      <w:r w:rsidRPr="00F3238B">
        <w:rPr>
          <w:rFonts w:ascii="Times New Roman" w:hAnsi="Times New Roman" w:cs="Times New Roman"/>
          <w:b/>
          <w:bCs/>
          <w:lang w:val="uk-UA"/>
        </w:rPr>
        <w:t>вх</w:t>
      </w:r>
      <w:proofErr w:type="spellEnd"/>
      <w:r w:rsidRPr="00F3238B">
        <w:rPr>
          <w:rFonts w:ascii="Times New Roman" w:hAnsi="Times New Roman" w:cs="Times New Roman"/>
          <w:b/>
          <w:bCs/>
          <w:lang w:val="uk-UA"/>
        </w:rPr>
        <w:t xml:space="preserve">. № </w:t>
      </w:r>
      <w:r w:rsidR="001D4159">
        <w:rPr>
          <w:rFonts w:ascii="Times New Roman" w:hAnsi="Times New Roman" w:cs="Times New Roman"/>
          <w:b/>
          <w:bCs/>
          <w:lang w:val="uk-UA"/>
        </w:rPr>
        <w:t>18</w:t>
      </w:r>
      <w:bookmarkStart w:id="0" w:name="_GoBack"/>
      <w:bookmarkEnd w:id="0"/>
      <w:r w:rsidRPr="00F3238B">
        <w:rPr>
          <w:rFonts w:ascii="Times New Roman" w:hAnsi="Times New Roman" w:cs="Times New Roman"/>
          <w:b/>
          <w:bCs/>
          <w:lang w:val="uk-UA"/>
        </w:rPr>
        <w:t xml:space="preserve"> від </w:t>
      </w:r>
      <w:r>
        <w:rPr>
          <w:rFonts w:ascii="Times New Roman" w:hAnsi="Times New Roman" w:cs="Times New Roman"/>
          <w:b/>
          <w:bCs/>
          <w:lang w:val="uk-UA"/>
        </w:rPr>
        <w:t>02</w:t>
      </w:r>
      <w:r w:rsidRPr="00F3238B">
        <w:rPr>
          <w:rFonts w:ascii="Times New Roman" w:hAnsi="Times New Roman" w:cs="Times New Roman"/>
          <w:b/>
          <w:bCs/>
          <w:lang w:val="uk-UA"/>
        </w:rPr>
        <w:t>.</w:t>
      </w:r>
      <w:r>
        <w:rPr>
          <w:rFonts w:ascii="Times New Roman" w:hAnsi="Times New Roman" w:cs="Times New Roman"/>
          <w:b/>
          <w:bCs/>
          <w:lang w:val="uk-UA"/>
        </w:rPr>
        <w:t>12</w:t>
      </w:r>
      <w:r w:rsidRPr="00F3238B">
        <w:rPr>
          <w:rFonts w:ascii="Times New Roman" w:hAnsi="Times New Roman" w:cs="Times New Roman"/>
          <w:b/>
          <w:bCs/>
          <w:lang w:val="uk-UA"/>
        </w:rPr>
        <w:t>.20</w:t>
      </w:r>
      <w:r>
        <w:rPr>
          <w:rFonts w:ascii="Times New Roman" w:hAnsi="Times New Roman" w:cs="Times New Roman"/>
          <w:b/>
          <w:bCs/>
          <w:lang w:val="uk-UA"/>
        </w:rPr>
        <w:t>20</w:t>
      </w:r>
      <w:r w:rsidRPr="00F3238B">
        <w:rPr>
          <w:rFonts w:ascii="Times New Roman" w:hAnsi="Times New Roman" w:cs="Times New Roman"/>
          <w:b/>
          <w:bCs/>
          <w:lang w:val="uk-UA"/>
        </w:rPr>
        <w:t xml:space="preserve"> р.).</w:t>
      </w:r>
    </w:p>
    <w:p w:rsidR="00F3238B" w:rsidRPr="00F3238B" w:rsidRDefault="00F3238B" w:rsidP="00F3238B">
      <w:pPr>
        <w:rPr>
          <w:rFonts w:ascii="Times New Roman" w:hAnsi="Times New Roman" w:cs="Times New Roman"/>
          <w:b/>
          <w:bCs/>
          <w:lang w:val="uk-UA"/>
        </w:rPr>
      </w:pPr>
    </w:p>
    <w:p w:rsidR="00F3238B" w:rsidRPr="00F3238B" w:rsidRDefault="00F3238B" w:rsidP="00F3238B">
      <w:pPr>
        <w:rPr>
          <w:rFonts w:ascii="Times New Roman" w:hAnsi="Times New Roman" w:cs="Times New Roman"/>
          <w:b/>
          <w:bCs/>
          <w:lang w:val="uk-UA"/>
        </w:rPr>
      </w:pPr>
      <w:r w:rsidRPr="00F3238B">
        <w:rPr>
          <w:rFonts w:ascii="Times New Roman" w:hAnsi="Times New Roman" w:cs="Times New Roman"/>
          <w:b/>
          <w:bCs/>
          <w:lang w:val="uk-UA"/>
        </w:rPr>
        <w:t>Зазначене повідомлення розміщено на власному с</w:t>
      </w:r>
      <w:r>
        <w:rPr>
          <w:rFonts w:ascii="Times New Roman" w:hAnsi="Times New Roman" w:cs="Times New Roman"/>
          <w:b/>
          <w:bCs/>
          <w:lang w:val="uk-UA"/>
        </w:rPr>
        <w:t xml:space="preserve">айті за наступною </w:t>
      </w:r>
      <w:proofErr w:type="spellStart"/>
      <w:r>
        <w:rPr>
          <w:rFonts w:ascii="Times New Roman" w:hAnsi="Times New Roman" w:cs="Times New Roman"/>
          <w:b/>
          <w:bCs/>
          <w:lang w:val="uk-UA"/>
        </w:rPr>
        <w:t>адресою</w:t>
      </w:r>
      <w:proofErr w:type="spellEnd"/>
      <w:r>
        <w:rPr>
          <w:rFonts w:ascii="Times New Roman" w:hAnsi="Times New Roman" w:cs="Times New Roman"/>
          <w:b/>
          <w:bCs/>
          <w:lang w:val="uk-UA"/>
        </w:rPr>
        <w:t xml:space="preserve"> - </w:t>
      </w:r>
      <w:r w:rsidRPr="00F3238B">
        <w:rPr>
          <w:rFonts w:ascii="Times New Roman" w:hAnsi="Times New Roman" w:cs="Times New Roman"/>
          <w:b/>
          <w:bCs/>
          <w:lang w:val="uk-UA"/>
        </w:rPr>
        <w:t>http://04542749.pat.ua/</w:t>
      </w:r>
    </w:p>
    <w:p w:rsidR="00F3238B" w:rsidRPr="00F3238B" w:rsidRDefault="00F3238B" w:rsidP="00F3238B">
      <w:pPr>
        <w:rPr>
          <w:rFonts w:ascii="Times New Roman" w:hAnsi="Times New Roman" w:cs="Times New Roman"/>
          <w:b/>
          <w:bCs/>
          <w:lang w:val="uk-UA"/>
        </w:rPr>
      </w:pPr>
    </w:p>
    <w:p w:rsidR="003B191A" w:rsidRDefault="002E099F" w:rsidP="003B191A">
      <w:pPr>
        <w:rPr>
          <w:rFonts w:ascii="Times New Roman" w:hAnsi="Times New Roman" w:cs="Times New Roman"/>
          <w:b/>
          <w:bCs/>
          <w:lang w:val="uk-UA"/>
        </w:rPr>
      </w:pPr>
      <w:proofErr w:type="spellStart"/>
      <w:r w:rsidRPr="002E099F">
        <w:rPr>
          <w:rFonts w:ascii="Times New Roman" w:hAnsi="Times New Roman" w:cs="Times New Roman"/>
          <w:b/>
          <w:bCs/>
          <w:lang w:val="uk-UA"/>
        </w:rPr>
        <w:t>Вiд</w:t>
      </w:r>
      <w:proofErr w:type="spellEnd"/>
      <w:r w:rsidRPr="002E099F">
        <w:rPr>
          <w:rFonts w:ascii="Times New Roman" w:hAnsi="Times New Roman" w:cs="Times New Roman"/>
          <w:b/>
          <w:bCs/>
          <w:lang w:val="uk-UA"/>
        </w:rPr>
        <w:t xml:space="preserve"> 25 листопада 2020 року</w:t>
      </w:r>
    </w:p>
    <w:p w:rsidR="003B191A" w:rsidRDefault="003B191A" w:rsidP="003B191A">
      <w:pPr>
        <w:jc w:val="right"/>
        <w:rPr>
          <w:rFonts w:ascii="Times New Roman" w:hAnsi="Times New Roman" w:cs="Times New Roman"/>
          <w:b/>
          <w:bCs/>
          <w:lang w:val="uk-UA"/>
        </w:rPr>
      </w:pPr>
      <w:r w:rsidRPr="003B191A">
        <w:rPr>
          <w:rFonts w:ascii="Times New Roman" w:hAnsi="Times New Roman" w:cs="Times New Roman"/>
          <w:b/>
          <w:bCs/>
          <w:lang w:val="uk-UA"/>
        </w:rPr>
        <w:t xml:space="preserve">НАЦІОНАЛЬНА КОМІСІЯ З ЦІННИХ </w:t>
      </w:r>
    </w:p>
    <w:p w:rsidR="003B191A" w:rsidRPr="003B191A" w:rsidRDefault="003B191A" w:rsidP="003B191A">
      <w:pPr>
        <w:jc w:val="right"/>
        <w:rPr>
          <w:rFonts w:ascii="Times New Roman" w:hAnsi="Times New Roman" w:cs="Times New Roman"/>
          <w:b/>
          <w:bCs/>
          <w:lang w:val="uk-UA"/>
        </w:rPr>
      </w:pPr>
      <w:r w:rsidRPr="003B191A">
        <w:rPr>
          <w:rFonts w:ascii="Times New Roman" w:hAnsi="Times New Roman" w:cs="Times New Roman"/>
          <w:b/>
          <w:bCs/>
          <w:lang w:val="uk-UA"/>
        </w:rPr>
        <w:t>ПАПЕРІВ ТА ФОНДОВОГО РИНКУ</w:t>
      </w:r>
    </w:p>
    <w:p w:rsidR="002E099F" w:rsidRPr="003B191A" w:rsidRDefault="003B191A" w:rsidP="003B191A">
      <w:pPr>
        <w:jc w:val="right"/>
        <w:rPr>
          <w:rFonts w:ascii="Times New Roman" w:hAnsi="Times New Roman" w:cs="Times New Roman"/>
          <w:b/>
          <w:bCs/>
          <w:lang w:val="uk-UA"/>
        </w:rPr>
      </w:pPr>
      <w:r w:rsidRPr="003B191A">
        <w:rPr>
          <w:rFonts w:ascii="Times New Roman" w:hAnsi="Times New Roman" w:cs="Times New Roman"/>
          <w:b/>
          <w:bCs/>
          <w:lang w:val="uk-UA"/>
        </w:rPr>
        <w:t>01010, м. Київ, вул. Московська, 8</w:t>
      </w:r>
      <w:r>
        <w:rPr>
          <w:rFonts w:ascii="Times New Roman" w:hAnsi="Times New Roman" w:cs="Times New Roman"/>
          <w:b/>
          <w:bCs/>
          <w:lang w:val="uk-UA"/>
        </w:rPr>
        <w:t xml:space="preserve"> К.30</w:t>
      </w:r>
    </w:p>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 </w:t>
      </w:r>
    </w:p>
    <w:p w:rsidR="002E099F" w:rsidRPr="002E099F" w:rsidRDefault="002E099F" w:rsidP="002E099F">
      <w:pPr>
        <w:jc w:val="right"/>
        <w:rPr>
          <w:rFonts w:ascii="Times New Roman" w:hAnsi="Times New Roman" w:cs="Times New Roman"/>
          <w:lang w:val="uk-UA"/>
        </w:rPr>
      </w:pPr>
      <w:r w:rsidRPr="002E099F">
        <w:rPr>
          <w:rFonts w:ascii="Times New Roman" w:hAnsi="Times New Roman" w:cs="Times New Roman"/>
          <w:b/>
          <w:bCs/>
          <w:lang w:val="uk-UA"/>
        </w:rPr>
        <w:t xml:space="preserve">Виконуючому </w:t>
      </w:r>
      <w:r w:rsidR="00744F10" w:rsidRPr="002E099F">
        <w:rPr>
          <w:rFonts w:ascii="Times New Roman" w:hAnsi="Times New Roman" w:cs="Times New Roman"/>
          <w:b/>
          <w:bCs/>
          <w:lang w:val="uk-UA"/>
        </w:rPr>
        <w:t>обов’язки</w:t>
      </w:r>
      <w:r w:rsidRPr="002E099F">
        <w:rPr>
          <w:rFonts w:ascii="Times New Roman" w:hAnsi="Times New Roman" w:cs="Times New Roman"/>
          <w:b/>
          <w:bCs/>
          <w:lang w:val="uk-UA"/>
        </w:rPr>
        <w:t xml:space="preserve"> Генерального директора</w:t>
      </w:r>
    </w:p>
    <w:p w:rsidR="002E099F" w:rsidRPr="002E099F" w:rsidRDefault="003B191A" w:rsidP="002E099F">
      <w:pPr>
        <w:jc w:val="right"/>
        <w:rPr>
          <w:rFonts w:ascii="Times New Roman" w:hAnsi="Times New Roman" w:cs="Times New Roman"/>
          <w:lang w:val="uk-UA"/>
        </w:rPr>
      </w:pPr>
      <w:r>
        <w:rPr>
          <w:rFonts w:ascii="Times New Roman" w:hAnsi="Times New Roman" w:cs="Times New Roman"/>
          <w:b/>
          <w:bCs/>
          <w:lang w:val="uk-UA"/>
        </w:rPr>
        <w:t>ПрАТ «Івано-</w:t>
      </w:r>
      <w:proofErr w:type="spellStart"/>
      <w:r>
        <w:rPr>
          <w:rFonts w:ascii="Times New Roman" w:hAnsi="Times New Roman" w:cs="Times New Roman"/>
          <w:b/>
          <w:bCs/>
          <w:lang w:val="uk-UA"/>
        </w:rPr>
        <w:t>Франківськголовпостач</w:t>
      </w:r>
      <w:proofErr w:type="spellEnd"/>
      <w:r>
        <w:rPr>
          <w:rFonts w:ascii="Times New Roman" w:hAnsi="Times New Roman" w:cs="Times New Roman"/>
          <w:b/>
          <w:bCs/>
          <w:lang w:val="uk-UA"/>
        </w:rPr>
        <w:t>»</w:t>
      </w:r>
    </w:p>
    <w:p w:rsidR="002E099F" w:rsidRPr="002E099F" w:rsidRDefault="002E099F" w:rsidP="002E099F">
      <w:pPr>
        <w:jc w:val="right"/>
        <w:rPr>
          <w:rFonts w:ascii="Times New Roman" w:hAnsi="Times New Roman" w:cs="Times New Roman"/>
          <w:lang w:val="uk-UA"/>
        </w:rPr>
      </w:pPr>
      <w:r w:rsidRPr="002E099F">
        <w:rPr>
          <w:rFonts w:ascii="Times New Roman" w:hAnsi="Times New Roman" w:cs="Times New Roman"/>
          <w:b/>
          <w:bCs/>
          <w:lang w:val="uk-UA"/>
        </w:rPr>
        <w:t>код за ЄДРПОУ 04542749</w:t>
      </w:r>
    </w:p>
    <w:p w:rsidR="002E099F" w:rsidRPr="002E099F" w:rsidRDefault="002E099F" w:rsidP="002E099F">
      <w:pPr>
        <w:jc w:val="right"/>
        <w:rPr>
          <w:rFonts w:ascii="Times New Roman" w:hAnsi="Times New Roman" w:cs="Times New Roman"/>
          <w:lang w:val="uk-UA"/>
        </w:rPr>
      </w:pPr>
      <w:proofErr w:type="spellStart"/>
      <w:r w:rsidRPr="002E099F">
        <w:rPr>
          <w:rFonts w:ascii="Times New Roman" w:hAnsi="Times New Roman" w:cs="Times New Roman"/>
          <w:b/>
          <w:bCs/>
          <w:lang w:val="uk-UA"/>
        </w:rPr>
        <w:t>Жигалюку</w:t>
      </w:r>
      <w:proofErr w:type="spellEnd"/>
      <w:r w:rsidRPr="002E099F">
        <w:rPr>
          <w:rFonts w:ascii="Times New Roman" w:hAnsi="Times New Roman" w:cs="Times New Roman"/>
          <w:b/>
          <w:bCs/>
          <w:lang w:val="uk-UA"/>
        </w:rPr>
        <w:t xml:space="preserve"> Богдану Михайловичу</w:t>
      </w:r>
    </w:p>
    <w:p w:rsidR="002E099F" w:rsidRPr="002E099F" w:rsidRDefault="002E099F" w:rsidP="002E099F">
      <w:pPr>
        <w:jc w:val="right"/>
        <w:rPr>
          <w:rFonts w:ascii="Times New Roman" w:hAnsi="Times New Roman" w:cs="Times New Roman"/>
          <w:lang w:val="uk-UA"/>
        </w:rPr>
      </w:pPr>
      <w:r w:rsidRPr="002E099F">
        <w:rPr>
          <w:rFonts w:ascii="Times New Roman" w:hAnsi="Times New Roman" w:cs="Times New Roman"/>
          <w:b/>
          <w:bCs/>
          <w:lang w:val="uk-UA"/>
        </w:rPr>
        <w:t xml:space="preserve">Адреса: </w:t>
      </w:r>
      <w:r w:rsidR="00164574">
        <w:rPr>
          <w:rFonts w:ascii="Times New Roman" w:hAnsi="Times New Roman" w:cs="Times New Roman"/>
          <w:b/>
          <w:bCs/>
          <w:lang w:val="uk-UA"/>
        </w:rPr>
        <w:t>76495,</w:t>
      </w:r>
      <w:r w:rsidRPr="002E099F">
        <w:rPr>
          <w:rFonts w:ascii="Times New Roman" w:hAnsi="Times New Roman" w:cs="Times New Roman"/>
          <w:b/>
          <w:bCs/>
          <w:lang w:val="uk-UA"/>
        </w:rPr>
        <w:t xml:space="preserve"> м. Івано-Франківськ, вулиця </w:t>
      </w:r>
      <w:proofErr w:type="spellStart"/>
      <w:r w:rsidRPr="002E099F">
        <w:rPr>
          <w:rFonts w:ascii="Times New Roman" w:hAnsi="Times New Roman" w:cs="Times New Roman"/>
          <w:b/>
          <w:bCs/>
          <w:lang w:val="uk-UA"/>
        </w:rPr>
        <w:t>Автоливмашівська</w:t>
      </w:r>
      <w:proofErr w:type="spellEnd"/>
      <w:r w:rsidRPr="002E099F">
        <w:rPr>
          <w:rFonts w:ascii="Times New Roman" w:hAnsi="Times New Roman" w:cs="Times New Roman"/>
          <w:b/>
          <w:bCs/>
          <w:lang w:val="uk-UA"/>
        </w:rPr>
        <w:t>, 2А</w:t>
      </w:r>
    </w:p>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 </w:t>
      </w:r>
      <w:r w:rsidRPr="002E099F">
        <w:rPr>
          <w:rFonts w:ascii="Times New Roman" w:hAnsi="Times New Roman" w:cs="Times New Roman"/>
          <w:lang w:val="uk-UA"/>
        </w:rPr>
        <w:tab/>
      </w:r>
      <w:r w:rsidRPr="002E099F">
        <w:rPr>
          <w:rFonts w:ascii="Times New Roman" w:hAnsi="Times New Roman" w:cs="Times New Roman"/>
          <w:b/>
          <w:bCs/>
          <w:lang w:val="uk-UA"/>
        </w:rPr>
        <w:t>Відповідно до Статті 65</w:t>
      </w:r>
      <w:r w:rsidRPr="000C2887">
        <w:rPr>
          <w:rFonts w:ascii="Times New Roman" w:hAnsi="Times New Roman" w:cs="Times New Roman"/>
          <w:b/>
          <w:bCs/>
          <w:vertAlign w:val="superscript"/>
          <w:lang w:val="uk-UA"/>
        </w:rPr>
        <w:t>2</w:t>
      </w:r>
      <w:r w:rsidRPr="002E099F">
        <w:rPr>
          <w:rFonts w:ascii="Times New Roman" w:hAnsi="Times New Roman" w:cs="Times New Roman"/>
          <w:b/>
          <w:bCs/>
          <w:lang w:val="uk-UA"/>
        </w:rPr>
        <w:t>. Обов’язковий продаж акцій акціонерами на вимогу особи (осіб, що діють спільно), яка є власником домінуючого контрольного пакета акцій Закону України «Про акціонерні товариства»,  </w:t>
      </w:r>
      <w:proofErr w:type="spellStart"/>
      <w:r w:rsidR="00164574">
        <w:rPr>
          <w:rFonts w:ascii="Times New Roman" w:hAnsi="Times New Roman" w:cs="Times New Roman"/>
          <w:lang w:val="uk-UA"/>
        </w:rPr>
        <w:t>Гільдін</w:t>
      </w:r>
      <w:proofErr w:type="spellEnd"/>
      <w:r w:rsidR="00164574">
        <w:rPr>
          <w:rFonts w:ascii="Times New Roman" w:hAnsi="Times New Roman" w:cs="Times New Roman"/>
          <w:lang w:val="uk-UA"/>
        </w:rPr>
        <w:t xml:space="preserve"> Олег Ігорович, ідентифікаційний код 2579200317, м. Дніпро, вул. Свєтлова, буд.4 (</w:t>
      </w:r>
      <w:proofErr w:type="spellStart"/>
      <w:r w:rsidR="00164574">
        <w:rPr>
          <w:rFonts w:ascii="Times New Roman" w:hAnsi="Times New Roman" w:cs="Times New Roman"/>
          <w:lang w:val="uk-UA"/>
        </w:rPr>
        <w:t>ч.б</w:t>
      </w:r>
      <w:proofErr w:type="spellEnd"/>
      <w:r w:rsidR="00164574">
        <w:rPr>
          <w:rFonts w:ascii="Times New Roman" w:hAnsi="Times New Roman" w:cs="Times New Roman"/>
          <w:lang w:val="uk-UA"/>
        </w:rPr>
        <w:t>.)</w:t>
      </w:r>
      <w:r w:rsidRPr="002E099F">
        <w:rPr>
          <w:rFonts w:ascii="Times New Roman" w:hAnsi="Times New Roman" w:cs="Times New Roman"/>
          <w:lang w:val="uk-UA"/>
        </w:rPr>
        <w:t>,  як</w:t>
      </w:r>
      <w:r w:rsidR="00164574">
        <w:rPr>
          <w:rFonts w:ascii="Times New Roman" w:hAnsi="Times New Roman" w:cs="Times New Roman"/>
          <w:lang w:val="uk-UA"/>
        </w:rPr>
        <w:t>ий</w:t>
      </w:r>
      <w:r w:rsidRPr="002E099F">
        <w:rPr>
          <w:rFonts w:ascii="Times New Roman" w:hAnsi="Times New Roman" w:cs="Times New Roman"/>
          <w:lang w:val="uk-UA"/>
        </w:rPr>
        <w:t xml:space="preserve"> внаслідок придбання акцій ПРИВАТНОГО АКЦІОНЕРНОГО ТОВАРИСТВА «</w:t>
      </w:r>
      <w:r w:rsidR="00164574">
        <w:rPr>
          <w:rFonts w:ascii="Times New Roman" w:hAnsi="Times New Roman" w:cs="Times New Roman"/>
          <w:lang w:val="uk-UA"/>
        </w:rPr>
        <w:t>Івано-</w:t>
      </w:r>
      <w:proofErr w:type="spellStart"/>
      <w:r w:rsidR="00164574">
        <w:rPr>
          <w:rFonts w:ascii="Times New Roman" w:hAnsi="Times New Roman" w:cs="Times New Roman"/>
          <w:lang w:val="uk-UA"/>
        </w:rPr>
        <w:t>Франківськголовпостач</w:t>
      </w:r>
      <w:proofErr w:type="spellEnd"/>
      <w:r w:rsidRPr="002E099F">
        <w:rPr>
          <w:rFonts w:ascii="Times New Roman" w:hAnsi="Times New Roman" w:cs="Times New Roman"/>
          <w:lang w:val="uk-UA"/>
        </w:rPr>
        <w:t xml:space="preserve">»  (надалі Товариство) код за ЄДРПОУ </w:t>
      </w:r>
      <w:r w:rsidR="00164574">
        <w:rPr>
          <w:rFonts w:ascii="Times New Roman" w:hAnsi="Times New Roman" w:cs="Times New Roman"/>
          <w:lang w:val="uk-UA"/>
        </w:rPr>
        <w:t>04542749</w:t>
      </w:r>
      <w:r w:rsidRPr="002E099F">
        <w:rPr>
          <w:rFonts w:ascii="Times New Roman" w:hAnsi="Times New Roman" w:cs="Times New Roman"/>
          <w:lang w:val="uk-UA"/>
        </w:rPr>
        <w:t>, ста</w:t>
      </w:r>
      <w:r w:rsidR="00164574">
        <w:rPr>
          <w:rFonts w:ascii="Times New Roman" w:hAnsi="Times New Roman" w:cs="Times New Roman"/>
          <w:lang w:val="uk-UA"/>
        </w:rPr>
        <w:t>в</w:t>
      </w:r>
      <w:r w:rsidRPr="002E099F">
        <w:rPr>
          <w:rFonts w:ascii="Times New Roman" w:hAnsi="Times New Roman" w:cs="Times New Roman"/>
          <w:lang w:val="uk-UA"/>
        </w:rPr>
        <w:t xml:space="preserve"> власником домінуючого контрольного пакета акцій Товариства, подає</w:t>
      </w:r>
    </w:p>
    <w:p w:rsidR="002E099F" w:rsidRPr="002E099F" w:rsidRDefault="002E099F" w:rsidP="00164574">
      <w:pPr>
        <w:jc w:val="center"/>
        <w:rPr>
          <w:rFonts w:ascii="Times New Roman" w:hAnsi="Times New Roman" w:cs="Times New Roman"/>
          <w:lang w:val="uk-UA"/>
        </w:rPr>
      </w:pPr>
      <w:r w:rsidRPr="002E099F">
        <w:rPr>
          <w:rFonts w:ascii="Times New Roman" w:hAnsi="Times New Roman" w:cs="Times New Roman"/>
          <w:b/>
          <w:bCs/>
          <w:lang w:val="uk-UA"/>
        </w:rPr>
        <w:t>ПОВІДОМЛЕННЯ</w:t>
      </w:r>
    </w:p>
    <w:p w:rsidR="002E099F" w:rsidRPr="002E099F" w:rsidRDefault="002E099F" w:rsidP="00164574">
      <w:pPr>
        <w:jc w:val="center"/>
        <w:rPr>
          <w:rFonts w:ascii="Times New Roman" w:hAnsi="Times New Roman" w:cs="Times New Roman"/>
          <w:lang w:val="uk-UA"/>
        </w:rPr>
      </w:pPr>
      <w:r w:rsidRPr="002E099F">
        <w:rPr>
          <w:rFonts w:ascii="Times New Roman" w:hAnsi="Times New Roman" w:cs="Times New Roman"/>
          <w:lang w:val="uk-UA"/>
        </w:rPr>
        <w:t>про набуття права власності на домінуючий контрольний пакет акцій.</w:t>
      </w:r>
    </w:p>
    <w:p w:rsidR="002E099F" w:rsidRPr="002E099F" w:rsidRDefault="00164574" w:rsidP="002E099F">
      <w:pPr>
        <w:jc w:val="both"/>
        <w:rPr>
          <w:rFonts w:ascii="Times New Roman" w:hAnsi="Times New Roman" w:cs="Times New Roman"/>
          <w:lang w:val="uk-UA"/>
        </w:rPr>
      </w:pPr>
      <w:proofErr w:type="spellStart"/>
      <w:r>
        <w:rPr>
          <w:rFonts w:ascii="Times New Roman" w:hAnsi="Times New Roman" w:cs="Times New Roman"/>
          <w:lang w:val="uk-UA"/>
        </w:rPr>
        <w:t>Гільдін</w:t>
      </w:r>
      <w:proofErr w:type="spellEnd"/>
      <w:r>
        <w:rPr>
          <w:rFonts w:ascii="Times New Roman" w:hAnsi="Times New Roman" w:cs="Times New Roman"/>
          <w:lang w:val="uk-UA"/>
        </w:rPr>
        <w:t xml:space="preserve"> Олег Ігорович</w:t>
      </w:r>
      <w:r w:rsidR="002E099F" w:rsidRPr="002E099F">
        <w:rPr>
          <w:rFonts w:ascii="Times New Roman" w:hAnsi="Times New Roman" w:cs="Times New Roman"/>
          <w:lang w:val="uk-UA"/>
        </w:rPr>
        <w:t> </w:t>
      </w:r>
      <w:r>
        <w:rPr>
          <w:rFonts w:ascii="Times New Roman" w:hAnsi="Times New Roman" w:cs="Times New Roman"/>
          <w:b/>
          <w:bCs/>
          <w:lang w:val="uk-UA"/>
        </w:rPr>
        <w:t>24 листопада</w:t>
      </w:r>
      <w:r w:rsidR="002E099F" w:rsidRPr="002E099F">
        <w:rPr>
          <w:rFonts w:ascii="Times New Roman" w:hAnsi="Times New Roman" w:cs="Times New Roman"/>
          <w:b/>
          <w:bCs/>
          <w:lang w:val="uk-UA"/>
        </w:rPr>
        <w:t xml:space="preserve"> 2020 року</w:t>
      </w:r>
      <w:r w:rsidR="002E099F" w:rsidRPr="002E099F">
        <w:rPr>
          <w:rFonts w:ascii="Times New Roman" w:hAnsi="Times New Roman" w:cs="Times New Roman"/>
          <w:lang w:val="uk-UA"/>
        </w:rPr>
        <w:t> ста</w:t>
      </w:r>
      <w:r w:rsidR="00B81899">
        <w:rPr>
          <w:rFonts w:ascii="Times New Roman" w:hAnsi="Times New Roman" w:cs="Times New Roman"/>
          <w:lang w:val="uk-UA"/>
        </w:rPr>
        <w:t>в</w:t>
      </w:r>
      <w:r w:rsidR="002E099F" w:rsidRPr="002E099F">
        <w:rPr>
          <w:rFonts w:ascii="Times New Roman" w:hAnsi="Times New Roman" w:cs="Times New Roman"/>
          <w:lang w:val="uk-UA"/>
        </w:rPr>
        <w:t xml:space="preserve"> власником домінуючого контрольного пакета акцій Товариства в кількості  </w:t>
      </w:r>
      <w:r w:rsidR="000C2887" w:rsidRPr="00C07A6F">
        <w:rPr>
          <w:rFonts w:ascii="Times New Roman" w:hAnsi="Times New Roman" w:cs="Times New Roman"/>
          <w:b/>
          <w:lang w:val="uk-UA"/>
        </w:rPr>
        <w:t>1 454 731</w:t>
      </w:r>
      <w:r w:rsidR="002E099F" w:rsidRPr="002E099F">
        <w:rPr>
          <w:rFonts w:ascii="Times New Roman" w:hAnsi="Times New Roman" w:cs="Times New Roman"/>
          <w:lang w:val="uk-UA"/>
        </w:rPr>
        <w:t xml:space="preserve"> (</w:t>
      </w:r>
      <w:r w:rsidR="000C2887">
        <w:rPr>
          <w:rFonts w:ascii="Times New Roman" w:hAnsi="Times New Roman" w:cs="Times New Roman"/>
          <w:lang w:val="uk-UA"/>
        </w:rPr>
        <w:t>один мільйон чотириста п’ятдесят чотири тисячі сімсот тридцять одна</w:t>
      </w:r>
      <w:r w:rsidR="002E099F" w:rsidRPr="002E099F">
        <w:rPr>
          <w:rFonts w:ascii="Times New Roman" w:hAnsi="Times New Roman" w:cs="Times New Roman"/>
          <w:lang w:val="uk-UA"/>
        </w:rPr>
        <w:t xml:space="preserve">)  штуки простих іменних акцій, що становить </w:t>
      </w:r>
      <w:r w:rsidR="000C2887" w:rsidRPr="00C07A6F">
        <w:rPr>
          <w:rFonts w:ascii="Times New Roman" w:hAnsi="Times New Roman" w:cs="Times New Roman"/>
          <w:b/>
          <w:lang w:val="uk-UA"/>
        </w:rPr>
        <w:t>95,1294</w:t>
      </w:r>
      <w:r w:rsidR="002E099F" w:rsidRPr="00C07A6F">
        <w:rPr>
          <w:rFonts w:ascii="Times New Roman" w:hAnsi="Times New Roman" w:cs="Times New Roman"/>
          <w:b/>
          <w:lang w:val="uk-UA"/>
        </w:rPr>
        <w:t>%</w:t>
      </w:r>
      <w:r w:rsidR="002E099F" w:rsidRPr="002E099F">
        <w:rPr>
          <w:rFonts w:ascii="Times New Roman" w:hAnsi="Times New Roman" w:cs="Times New Roman"/>
          <w:lang w:val="uk-UA"/>
        </w:rPr>
        <w:t xml:space="preserve"> від статутного капіталу ПРИВАТНОГО АКЦІОНЕРНОГО ТОВАРИСТВА </w:t>
      </w:r>
      <w:r w:rsidR="000C2887">
        <w:rPr>
          <w:rFonts w:ascii="Times New Roman" w:hAnsi="Times New Roman" w:cs="Times New Roman"/>
          <w:lang w:val="uk-UA"/>
        </w:rPr>
        <w:t>«</w:t>
      </w:r>
      <w:r w:rsidR="000C2887" w:rsidRPr="000C2887">
        <w:rPr>
          <w:rFonts w:ascii="Times New Roman" w:hAnsi="Times New Roman" w:cs="Times New Roman"/>
          <w:lang w:val="uk-UA"/>
        </w:rPr>
        <w:t>ІВАНО-ФРАНКІВСЬКГОЛОВПОСТАЧ»</w:t>
      </w:r>
      <w:r w:rsidR="002E099F" w:rsidRPr="002E099F">
        <w:rPr>
          <w:rFonts w:ascii="Times New Roman" w:hAnsi="Times New Roman" w:cs="Times New Roman"/>
          <w:lang w:val="uk-UA"/>
        </w:rPr>
        <w:t xml:space="preserve"> . </w:t>
      </w:r>
    </w:p>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 xml:space="preserve">1. </w:t>
      </w:r>
      <w:r w:rsidRPr="006216A4">
        <w:rPr>
          <w:rFonts w:ascii="Times New Roman" w:hAnsi="Times New Roman" w:cs="Times New Roman"/>
          <w:lang w:val="uk-UA"/>
        </w:rPr>
        <w:t>Кількість акцій ПРИВАТНОГО АКЦІОНЕРНОГО ТОВАРИСТВА «</w:t>
      </w:r>
      <w:r w:rsidR="000C2887" w:rsidRPr="006216A4">
        <w:rPr>
          <w:rFonts w:ascii="Times New Roman" w:hAnsi="Times New Roman" w:cs="Times New Roman"/>
          <w:lang w:val="uk-UA"/>
        </w:rPr>
        <w:t>ІВАНО-ФРАНКІВСЬКГОЛОВПОСТАЧ</w:t>
      </w:r>
      <w:r w:rsidRPr="006216A4">
        <w:rPr>
          <w:rFonts w:ascii="Times New Roman" w:hAnsi="Times New Roman" w:cs="Times New Roman"/>
          <w:lang w:val="uk-UA"/>
        </w:rPr>
        <w:t xml:space="preserve">», що належали </w:t>
      </w:r>
      <w:proofErr w:type="spellStart"/>
      <w:r w:rsidR="000C2887" w:rsidRPr="006216A4">
        <w:rPr>
          <w:rFonts w:ascii="Times New Roman" w:hAnsi="Times New Roman" w:cs="Times New Roman"/>
          <w:lang w:val="uk-UA"/>
        </w:rPr>
        <w:t>Гільдіну</w:t>
      </w:r>
      <w:proofErr w:type="spellEnd"/>
      <w:r w:rsidR="000C2887" w:rsidRPr="006216A4">
        <w:rPr>
          <w:rFonts w:ascii="Times New Roman" w:hAnsi="Times New Roman" w:cs="Times New Roman"/>
          <w:lang w:val="uk-UA"/>
        </w:rPr>
        <w:t xml:space="preserve"> Олегу Ігоровичу</w:t>
      </w:r>
      <w:r w:rsidR="007D7D58">
        <w:rPr>
          <w:rFonts w:ascii="Times New Roman" w:hAnsi="Times New Roman" w:cs="Times New Roman"/>
          <w:lang w:val="uk-UA"/>
        </w:rPr>
        <w:t xml:space="preserve"> та його афілійованим особам</w:t>
      </w:r>
      <w:r w:rsidRPr="006216A4">
        <w:rPr>
          <w:rFonts w:ascii="Times New Roman" w:hAnsi="Times New Roman" w:cs="Times New Roman"/>
          <w:lang w:val="uk-UA"/>
        </w:rPr>
        <w:t xml:space="preserve"> до набуття доміную</w:t>
      </w:r>
      <w:r w:rsidR="007D7D58">
        <w:rPr>
          <w:rFonts w:ascii="Times New Roman" w:hAnsi="Times New Roman" w:cs="Times New Roman"/>
          <w:lang w:val="uk-UA"/>
        </w:rPr>
        <w:t>чого контрольного пакета акцій Т</w:t>
      </w:r>
      <w:r w:rsidRPr="006216A4">
        <w:rPr>
          <w:rFonts w:ascii="Times New Roman" w:hAnsi="Times New Roman" w:cs="Times New Roman"/>
          <w:lang w:val="uk-UA"/>
        </w:rPr>
        <w:t>овариства: </w:t>
      </w:r>
      <w:r w:rsidRPr="002E099F">
        <w:rPr>
          <w:rFonts w:ascii="Times New Roman" w:hAnsi="Times New Roman" w:cs="Times New Roman"/>
          <w:lang w:val="uk-UA"/>
        </w:rPr>
        <w:t xml:space="preserve"> </w:t>
      </w:r>
      <w:r w:rsidR="000C2887" w:rsidRPr="006216A4">
        <w:rPr>
          <w:rFonts w:ascii="Times New Roman" w:hAnsi="Times New Roman" w:cs="Times New Roman"/>
          <w:b/>
          <w:lang w:val="uk-UA"/>
        </w:rPr>
        <w:t xml:space="preserve">1 451 167 </w:t>
      </w:r>
      <w:r w:rsidRPr="006216A4">
        <w:rPr>
          <w:rFonts w:ascii="Times New Roman" w:hAnsi="Times New Roman" w:cs="Times New Roman"/>
          <w:b/>
          <w:lang w:val="uk-UA"/>
        </w:rPr>
        <w:t>(</w:t>
      </w:r>
      <w:r w:rsidR="000C2887" w:rsidRPr="006216A4">
        <w:rPr>
          <w:rFonts w:ascii="Times New Roman" w:hAnsi="Times New Roman" w:cs="Times New Roman"/>
          <w:b/>
          <w:lang w:val="uk-UA"/>
        </w:rPr>
        <w:t>один мільйон чотириста п’ятдесят одна тисяча сто шістдесят сім</w:t>
      </w:r>
      <w:r w:rsidRPr="006216A4">
        <w:rPr>
          <w:rFonts w:ascii="Times New Roman" w:hAnsi="Times New Roman" w:cs="Times New Roman"/>
          <w:b/>
          <w:lang w:val="uk-UA"/>
        </w:rPr>
        <w:t>) штук простих іменних акцій.</w:t>
      </w:r>
    </w:p>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 xml:space="preserve">2. </w:t>
      </w:r>
      <w:r w:rsidRPr="006216A4">
        <w:rPr>
          <w:rFonts w:ascii="Times New Roman" w:hAnsi="Times New Roman" w:cs="Times New Roman"/>
          <w:lang w:val="uk-UA"/>
        </w:rPr>
        <w:t xml:space="preserve">Структура власності </w:t>
      </w:r>
      <w:r w:rsidR="000C2887" w:rsidRPr="006216A4">
        <w:rPr>
          <w:rFonts w:ascii="Times New Roman" w:hAnsi="Times New Roman" w:cs="Times New Roman"/>
          <w:lang w:val="uk-UA"/>
        </w:rPr>
        <w:t>особи</w:t>
      </w:r>
      <w:r w:rsidR="000C2887">
        <w:rPr>
          <w:rFonts w:ascii="Times New Roman" w:hAnsi="Times New Roman" w:cs="Times New Roman"/>
          <w:lang w:val="uk-UA"/>
        </w:rPr>
        <w:t xml:space="preserve"> </w:t>
      </w:r>
      <w:r w:rsidRPr="002E099F">
        <w:rPr>
          <w:rFonts w:ascii="Times New Roman" w:hAnsi="Times New Roman" w:cs="Times New Roman"/>
          <w:lang w:val="uk-UA"/>
        </w:rPr>
        <w:t xml:space="preserve">- </w:t>
      </w:r>
      <w:r w:rsidRPr="006216A4">
        <w:rPr>
          <w:rFonts w:ascii="Times New Roman" w:hAnsi="Times New Roman" w:cs="Times New Roman"/>
          <w:b/>
          <w:lang w:val="uk-UA"/>
        </w:rPr>
        <w:t>додаток 1</w:t>
      </w:r>
      <w:r w:rsidRPr="002E099F">
        <w:rPr>
          <w:rFonts w:ascii="Times New Roman" w:hAnsi="Times New Roman" w:cs="Times New Roman"/>
          <w:lang w:val="uk-UA"/>
        </w:rPr>
        <w:t>.</w:t>
      </w:r>
    </w:p>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 xml:space="preserve">3. </w:t>
      </w:r>
      <w:r w:rsidRPr="006216A4">
        <w:rPr>
          <w:rFonts w:ascii="Times New Roman" w:hAnsi="Times New Roman" w:cs="Times New Roman"/>
          <w:lang w:val="uk-UA"/>
        </w:rPr>
        <w:t>Ціна, передбачена пунктами 1 та 2 частини п’ятої статті 65</w:t>
      </w:r>
      <w:r w:rsidRPr="006216A4">
        <w:rPr>
          <w:rFonts w:ascii="Times New Roman" w:hAnsi="Times New Roman" w:cs="Times New Roman"/>
          <w:vertAlign w:val="superscript"/>
          <w:lang w:val="uk-UA"/>
        </w:rPr>
        <w:t>2</w:t>
      </w:r>
      <w:r w:rsidRPr="006216A4">
        <w:rPr>
          <w:rFonts w:ascii="Times New Roman" w:hAnsi="Times New Roman" w:cs="Times New Roman"/>
          <w:lang w:val="uk-UA"/>
        </w:rPr>
        <w:t>:</w:t>
      </w:r>
    </w:p>
    <w:p w:rsidR="002E099F" w:rsidRPr="0082745F" w:rsidRDefault="002E099F" w:rsidP="002E099F">
      <w:pPr>
        <w:jc w:val="both"/>
        <w:rPr>
          <w:rFonts w:ascii="Times New Roman" w:hAnsi="Times New Roman" w:cs="Times New Roman"/>
          <w:b/>
          <w:lang w:val="uk-UA"/>
        </w:rPr>
      </w:pPr>
      <w:r w:rsidRPr="002E099F">
        <w:rPr>
          <w:rFonts w:ascii="Times New Roman" w:hAnsi="Times New Roman" w:cs="Times New Roman"/>
          <w:lang w:val="uk-UA"/>
        </w:rPr>
        <w:t xml:space="preserve">1) </w:t>
      </w:r>
      <w:r w:rsidRPr="006216A4">
        <w:rPr>
          <w:rFonts w:ascii="Times New Roman" w:hAnsi="Times New Roman" w:cs="Times New Roman"/>
          <w:lang w:val="uk-UA"/>
        </w:rPr>
        <w:t xml:space="preserve">найвища ціна акції, за якою </w:t>
      </w:r>
      <w:proofErr w:type="spellStart"/>
      <w:r w:rsidR="000C2887" w:rsidRPr="006216A4">
        <w:rPr>
          <w:rFonts w:ascii="Times New Roman" w:hAnsi="Times New Roman" w:cs="Times New Roman"/>
          <w:lang w:val="uk-UA"/>
        </w:rPr>
        <w:t>Гільдін</w:t>
      </w:r>
      <w:proofErr w:type="spellEnd"/>
      <w:r w:rsidR="000C2887" w:rsidRPr="006216A4">
        <w:rPr>
          <w:rFonts w:ascii="Times New Roman" w:hAnsi="Times New Roman" w:cs="Times New Roman"/>
          <w:lang w:val="uk-UA"/>
        </w:rPr>
        <w:t xml:space="preserve"> Олег Ігорович</w:t>
      </w:r>
      <w:r w:rsidRPr="006216A4">
        <w:rPr>
          <w:rFonts w:ascii="Times New Roman" w:hAnsi="Times New Roman" w:cs="Times New Roman"/>
          <w:lang w:val="uk-UA"/>
        </w:rPr>
        <w:t>, його афілійовані особи або треті особи, що діють спільно з ним, придбавали акції цього товариства протягом 12 місяців, що передують даті набуття домінуючого контрольного пакета акцій включно з датою набуття</w:t>
      </w:r>
      <w:r w:rsidRPr="002E099F">
        <w:rPr>
          <w:rFonts w:ascii="Times New Roman" w:hAnsi="Times New Roman" w:cs="Times New Roman"/>
          <w:lang w:val="uk-UA"/>
        </w:rPr>
        <w:t xml:space="preserve"> - </w:t>
      </w:r>
      <w:r w:rsidRPr="002E099F">
        <w:rPr>
          <w:rFonts w:ascii="Times New Roman" w:hAnsi="Times New Roman" w:cs="Times New Roman"/>
          <w:b/>
          <w:bCs/>
          <w:lang w:val="uk-UA"/>
        </w:rPr>
        <w:t>найвища ціна акції складає </w:t>
      </w:r>
      <w:r w:rsidR="000C2887" w:rsidRPr="0082745F">
        <w:rPr>
          <w:rFonts w:ascii="Times New Roman" w:hAnsi="Times New Roman" w:cs="Times New Roman"/>
          <w:b/>
          <w:lang w:val="uk-UA"/>
        </w:rPr>
        <w:t>3,80</w:t>
      </w:r>
      <w:r w:rsidRPr="0082745F">
        <w:rPr>
          <w:rFonts w:ascii="Times New Roman" w:hAnsi="Times New Roman" w:cs="Times New Roman"/>
          <w:b/>
          <w:lang w:val="uk-UA"/>
        </w:rPr>
        <w:t xml:space="preserve"> грн. (</w:t>
      </w:r>
      <w:r w:rsidR="000C2887" w:rsidRPr="0082745F">
        <w:rPr>
          <w:rFonts w:ascii="Times New Roman" w:hAnsi="Times New Roman" w:cs="Times New Roman"/>
          <w:b/>
          <w:lang w:val="uk-UA"/>
        </w:rPr>
        <w:t>три гривні вісімдесят копійок)</w:t>
      </w:r>
      <w:r w:rsidRPr="0082745F">
        <w:rPr>
          <w:rFonts w:ascii="Times New Roman" w:hAnsi="Times New Roman" w:cs="Times New Roman"/>
          <w:b/>
          <w:lang w:val="uk-UA"/>
        </w:rPr>
        <w:t xml:space="preserve"> кожна.</w:t>
      </w:r>
    </w:p>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2</w:t>
      </w:r>
      <w:r w:rsidRPr="006216A4">
        <w:rPr>
          <w:rFonts w:ascii="Times New Roman" w:hAnsi="Times New Roman" w:cs="Times New Roman"/>
          <w:lang w:val="uk-UA"/>
        </w:rPr>
        <w:t>) найвища ціна, за якою</w:t>
      </w:r>
      <w:r w:rsidR="00F937F5" w:rsidRPr="006216A4">
        <w:rPr>
          <w:rFonts w:ascii="Times New Roman" w:hAnsi="Times New Roman" w:cs="Times New Roman"/>
          <w:lang w:val="uk-UA"/>
        </w:rPr>
        <w:t xml:space="preserve"> </w:t>
      </w:r>
      <w:proofErr w:type="spellStart"/>
      <w:r w:rsidR="000C2887" w:rsidRPr="006216A4">
        <w:rPr>
          <w:rFonts w:ascii="Times New Roman" w:hAnsi="Times New Roman" w:cs="Times New Roman"/>
          <w:lang w:val="uk-UA"/>
        </w:rPr>
        <w:t>Гільдін</w:t>
      </w:r>
      <w:proofErr w:type="spellEnd"/>
      <w:r w:rsidR="000C2887" w:rsidRPr="006216A4">
        <w:rPr>
          <w:rFonts w:ascii="Times New Roman" w:hAnsi="Times New Roman" w:cs="Times New Roman"/>
          <w:lang w:val="uk-UA"/>
        </w:rPr>
        <w:t xml:space="preserve"> Олег Ігорович</w:t>
      </w:r>
      <w:r w:rsidRPr="006216A4">
        <w:rPr>
          <w:rFonts w:ascii="Times New Roman" w:hAnsi="Times New Roman" w:cs="Times New Roman"/>
          <w:lang w:val="uk-UA"/>
        </w:rPr>
        <w:t>, його афілійовані особи або треті особи, що діють спільно з ним, опосередковано набули право власності на акції цього товариства  протягом 12 місяців, що передують даті набуття такою особою домінуючого контрольного пакета акцій товариства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r w:rsidRPr="002E099F">
        <w:rPr>
          <w:rFonts w:ascii="Times New Roman" w:hAnsi="Times New Roman" w:cs="Times New Roman"/>
          <w:lang w:val="uk-UA"/>
        </w:rPr>
        <w:t xml:space="preserve"> – </w:t>
      </w:r>
      <w:r w:rsidRPr="002E099F">
        <w:rPr>
          <w:rFonts w:ascii="Times New Roman" w:hAnsi="Times New Roman" w:cs="Times New Roman"/>
          <w:b/>
          <w:bCs/>
          <w:lang w:val="uk-UA"/>
        </w:rPr>
        <w:t>не набували</w:t>
      </w:r>
      <w:r w:rsidRPr="002E099F">
        <w:rPr>
          <w:rFonts w:ascii="Times New Roman" w:hAnsi="Times New Roman" w:cs="Times New Roman"/>
          <w:lang w:val="uk-UA"/>
        </w:rPr>
        <w:t>.</w:t>
      </w:r>
    </w:p>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lastRenderedPageBreak/>
        <w:t xml:space="preserve">4. </w:t>
      </w:r>
      <w:r w:rsidRPr="006216A4">
        <w:rPr>
          <w:rFonts w:ascii="Times New Roman" w:hAnsi="Times New Roman" w:cs="Times New Roman"/>
          <w:lang w:val="uk-UA"/>
        </w:rPr>
        <w:t>Дата набуття домінуючого контрольного пакета акцій Товариства</w:t>
      </w:r>
      <w:r w:rsidRPr="002E099F">
        <w:rPr>
          <w:rFonts w:ascii="Times New Roman" w:hAnsi="Times New Roman" w:cs="Times New Roman"/>
          <w:lang w:val="uk-UA"/>
        </w:rPr>
        <w:t xml:space="preserve"> –  </w:t>
      </w:r>
      <w:r w:rsidR="000C2887">
        <w:rPr>
          <w:rFonts w:ascii="Times New Roman" w:hAnsi="Times New Roman" w:cs="Times New Roman"/>
          <w:b/>
          <w:bCs/>
          <w:lang w:val="uk-UA"/>
        </w:rPr>
        <w:t>24 листопада</w:t>
      </w:r>
      <w:r w:rsidRPr="002E099F">
        <w:rPr>
          <w:rFonts w:ascii="Times New Roman" w:hAnsi="Times New Roman" w:cs="Times New Roman"/>
          <w:b/>
          <w:bCs/>
          <w:lang w:val="uk-UA"/>
        </w:rPr>
        <w:t xml:space="preserve"> 2020 року.</w:t>
      </w:r>
    </w:p>
    <w:p w:rsid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5</w:t>
      </w:r>
      <w:r w:rsidRPr="006216A4">
        <w:rPr>
          <w:rFonts w:ascii="Times New Roman" w:hAnsi="Times New Roman" w:cs="Times New Roman"/>
          <w:b/>
          <w:lang w:val="uk-UA"/>
        </w:rPr>
        <w:t xml:space="preserve">. </w:t>
      </w:r>
      <w:r w:rsidRPr="006216A4">
        <w:rPr>
          <w:rFonts w:ascii="Times New Roman" w:hAnsi="Times New Roman" w:cs="Times New Roman"/>
          <w:lang w:val="uk-UA"/>
        </w:rPr>
        <w:t>Інформація, передбачена пунк</w:t>
      </w:r>
      <w:r w:rsidR="000C2887" w:rsidRPr="006216A4">
        <w:rPr>
          <w:rFonts w:ascii="Times New Roman" w:hAnsi="Times New Roman" w:cs="Times New Roman"/>
          <w:lang w:val="uk-UA"/>
        </w:rPr>
        <w:t>том 6 частини восьмої статті 65</w:t>
      </w:r>
      <w:r w:rsidRPr="006216A4">
        <w:rPr>
          <w:rFonts w:ascii="Times New Roman" w:hAnsi="Times New Roman" w:cs="Times New Roman"/>
          <w:vertAlign w:val="superscript"/>
          <w:lang w:val="uk-UA"/>
        </w:rPr>
        <w:t>2</w:t>
      </w:r>
      <w:r w:rsidRPr="002E099F">
        <w:rPr>
          <w:rFonts w:ascii="Times New Roman" w:hAnsi="Times New Roman" w:cs="Times New Roman"/>
          <w:lang w:val="uk-UA"/>
        </w:rPr>
        <w:t xml:space="preserve"> - </w:t>
      </w:r>
      <w:r w:rsidRPr="006216A4">
        <w:rPr>
          <w:rFonts w:ascii="Times New Roman" w:hAnsi="Times New Roman" w:cs="Times New Roman"/>
          <w:b/>
          <w:lang w:val="uk-UA"/>
        </w:rPr>
        <w:t xml:space="preserve">депозитарна установа, в якій відкрито рахунок у цінних паперах </w:t>
      </w:r>
      <w:proofErr w:type="spellStart"/>
      <w:r w:rsidR="00BB0A6C" w:rsidRPr="006216A4">
        <w:rPr>
          <w:rFonts w:ascii="Times New Roman" w:hAnsi="Times New Roman" w:cs="Times New Roman"/>
          <w:b/>
          <w:lang w:val="uk-UA"/>
        </w:rPr>
        <w:t>Гільдін</w:t>
      </w:r>
      <w:proofErr w:type="spellEnd"/>
      <w:r w:rsidR="00BB0A6C" w:rsidRPr="006216A4">
        <w:rPr>
          <w:rFonts w:ascii="Times New Roman" w:hAnsi="Times New Roman" w:cs="Times New Roman"/>
          <w:b/>
          <w:lang w:val="uk-UA"/>
        </w:rPr>
        <w:t xml:space="preserve"> Олег Ігорович</w:t>
      </w:r>
      <w:r w:rsidRPr="006216A4">
        <w:rPr>
          <w:rFonts w:ascii="Times New Roman" w:hAnsi="Times New Roman" w:cs="Times New Roman"/>
          <w:b/>
          <w:lang w:val="uk-UA"/>
        </w:rPr>
        <w:t xml:space="preserve">: </w:t>
      </w:r>
      <w:r w:rsidR="00F937F5" w:rsidRPr="006216A4">
        <w:rPr>
          <w:rFonts w:ascii="Times New Roman" w:hAnsi="Times New Roman" w:cs="Times New Roman"/>
          <w:b/>
          <w:lang w:val="uk-UA"/>
        </w:rPr>
        <w:t>Т</w:t>
      </w:r>
      <w:r w:rsidRPr="006216A4">
        <w:rPr>
          <w:rFonts w:ascii="Times New Roman" w:hAnsi="Times New Roman" w:cs="Times New Roman"/>
          <w:b/>
          <w:lang w:val="uk-UA"/>
        </w:rPr>
        <w:t>овариство з обмеженою відповідальністю  «</w:t>
      </w:r>
      <w:r w:rsidR="00BB0A6C" w:rsidRPr="006216A4">
        <w:rPr>
          <w:rFonts w:ascii="Times New Roman" w:hAnsi="Times New Roman" w:cs="Times New Roman"/>
          <w:b/>
          <w:lang w:val="uk-UA"/>
        </w:rPr>
        <w:t>Онікс-Іва</w:t>
      </w:r>
      <w:r w:rsidRPr="006216A4">
        <w:rPr>
          <w:rFonts w:ascii="Times New Roman" w:hAnsi="Times New Roman" w:cs="Times New Roman"/>
          <w:b/>
          <w:lang w:val="uk-UA"/>
        </w:rPr>
        <w:t>», ліцензія  Національної  комісії з цінних паперів та фондового ринку серії АЕ №26337</w:t>
      </w:r>
      <w:r w:rsidR="00BB0A6C" w:rsidRPr="006216A4">
        <w:rPr>
          <w:rFonts w:ascii="Times New Roman" w:hAnsi="Times New Roman" w:cs="Times New Roman"/>
          <w:b/>
          <w:lang w:val="uk-UA"/>
        </w:rPr>
        <w:t>0</w:t>
      </w:r>
      <w:r w:rsidRPr="006216A4">
        <w:rPr>
          <w:rFonts w:ascii="Times New Roman" w:hAnsi="Times New Roman" w:cs="Times New Roman"/>
          <w:b/>
          <w:lang w:val="uk-UA"/>
        </w:rPr>
        <w:t xml:space="preserve">, строк дії з </w:t>
      </w:r>
      <w:r w:rsidR="00BB0A6C" w:rsidRPr="006216A4">
        <w:rPr>
          <w:rFonts w:ascii="Times New Roman" w:hAnsi="Times New Roman" w:cs="Times New Roman"/>
          <w:b/>
          <w:lang w:val="uk-UA"/>
        </w:rPr>
        <w:t>24.09</w:t>
      </w:r>
      <w:r w:rsidRPr="006216A4">
        <w:rPr>
          <w:rFonts w:ascii="Times New Roman" w:hAnsi="Times New Roman" w:cs="Times New Roman"/>
          <w:b/>
          <w:lang w:val="uk-UA"/>
        </w:rPr>
        <w:t xml:space="preserve">.2013 року необмежений; код за ЄДРПОУ </w:t>
      </w:r>
      <w:r w:rsidR="00BB0A6C" w:rsidRPr="006216A4">
        <w:rPr>
          <w:rFonts w:ascii="Times New Roman" w:hAnsi="Times New Roman" w:cs="Times New Roman"/>
          <w:b/>
          <w:lang w:val="uk-UA"/>
        </w:rPr>
        <w:t>24680821</w:t>
      </w:r>
      <w:r w:rsidRPr="006216A4">
        <w:rPr>
          <w:rFonts w:ascii="Times New Roman" w:hAnsi="Times New Roman" w:cs="Times New Roman"/>
          <w:b/>
          <w:lang w:val="uk-UA"/>
        </w:rPr>
        <w:t xml:space="preserve">; місцезнаходження  </w:t>
      </w:r>
      <w:r w:rsidR="000312C0" w:rsidRPr="006216A4">
        <w:rPr>
          <w:rFonts w:ascii="Times New Roman" w:hAnsi="Times New Roman" w:cs="Times New Roman"/>
          <w:b/>
          <w:lang w:val="uk-UA"/>
        </w:rPr>
        <w:t>76019</w:t>
      </w:r>
      <w:r w:rsidRPr="006216A4">
        <w:rPr>
          <w:rFonts w:ascii="Times New Roman" w:hAnsi="Times New Roman" w:cs="Times New Roman"/>
          <w:b/>
          <w:lang w:val="uk-UA"/>
        </w:rPr>
        <w:t>, м.</w:t>
      </w:r>
      <w:r w:rsidR="00BB0A6C" w:rsidRPr="006216A4">
        <w:rPr>
          <w:rFonts w:ascii="Times New Roman" w:hAnsi="Times New Roman" w:cs="Times New Roman"/>
          <w:b/>
          <w:lang w:val="uk-UA"/>
        </w:rPr>
        <w:t xml:space="preserve"> Івано-Франківськ</w:t>
      </w:r>
      <w:r w:rsidRPr="006216A4">
        <w:rPr>
          <w:rFonts w:ascii="Times New Roman" w:hAnsi="Times New Roman" w:cs="Times New Roman"/>
          <w:b/>
          <w:lang w:val="uk-UA"/>
        </w:rPr>
        <w:t xml:space="preserve">, </w:t>
      </w:r>
      <w:r w:rsidR="00BB0A6C" w:rsidRPr="006216A4">
        <w:rPr>
          <w:rFonts w:ascii="Times New Roman" w:hAnsi="Times New Roman" w:cs="Times New Roman"/>
          <w:b/>
          <w:lang w:val="uk-UA"/>
        </w:rPr>
        <w:t xml:space="preserve">вулиця </w:t>
      </w:r>
      <w:proofErr w:type="spellStart"/>
      <w:r w:rsidR="00BB0A6C" w:rsidRPr="006216A4">
        <w:rPr>
          <w:rFonts w:ascii="Times New Roman" w:hAnsi="Times New Roman" w:cs="Times New Roman"/>
          <w:b/>
          <w:lang w:val="uk-UA"/>
        </w:rPr>
        <w:t>Василіянок</w:t>
      </w:r>
      <w:proofErr w:type="spellEnd"/>
      <w:r w:rsidR="00BB0A6C" w:rsidRPr="006216A4">
        <w:rPr>
          <w:rFonts w:ascii="Times New Roman" w:hAnsi="Times New Roman" w:cs="Times New Roman"/>
          <w:b/>
          <w:lang w:val="uk-UA"/>
        </w:rPr>
        <w:t>, будинок 22</w:t>
      </w:r>
      <w:r w:rsidR="004517DB">
        <w:rPr>
          <w:rFonts w:ascii="Times New Roman" w:hAnsi="Times New Roman" w:cs="Times New Roman"/>
          <w:b/>
          <w:lang w:val="uk-UA"/>
        </w:rPr>
        <w:t xml:space="preserve">, </w:t>
      </w:r>
      <w:proofErr w:type="spellStart"/>
      <w:r w:rsidR="004517DB">
        <w:rPr>
          <w:rFonts w:ascii="Times New Roman" w:hAnsi="Times New Roman" w:cs="Times New Roman"/>
          <w:b/>
          <w:lang w:val="uk-UA"/>
        </w:rPr>
        <w:t>тел</w:t>
      </w:r>
      <w:proofErr w:type="spellEnd"/>
      <w:r w:rsidR="004517DB">
        <w:rPr>
          <w:rFonts w:ascii="Times New Roman" w:hAnsi="Times New Roman" w:cs="Times New Roman"/>
          <w:b/>
          <w:lang w:val="uk-UA"/>
        </w:rPr>
        <w:t>. (0342)751165.</w:t>
      </w:r>
      <w:r w:rsidRPr="006216A4">
        <w:rPr>
          <w:rFonts w:ascii="Times New Roman" w:hAnsi="Times New Roman" w:cs="Times New Roman"/>
          <w:b/>
          <w:lang w:val="uk-UA"/>
        </w:rPr>
        <w:t xml:space="preserve">  Реквізити рахунку у цінних паперах </w:t>
      </w:r>
      <w:proofErr w:type="spellStart"/>
      <w:r w:rsidR="00BB0A6C" w:rsidRPr="006216A4">
        <w:rPr>
          <w:rFonts w:ascii="Times New Roman" w:hAnsi="Times New Roman" w:cs="Times New Roman"/>
          <w:b/>
          <w:lang w:val="uk-UA"/>
        </w:rPr>
        <w:t>Гільдін</w:t>
      </w:r>
      <w:proofErr w:type="spellEnd"/>
      <w:r w:rsidR="00BB0A6C" w:rsidRPr="006216A4">
        <w:rPr>
          <w:rFonts w:ascii="Times New Roman" w:hAnsi="Times New Roman" w:cs="Times New Roman"/>
          <w:b/>
          <w:lang w:val="uk-UA"/>
        </w:rPr>
        <w:t xml:space="preserve"> Олега Ігоровича</w:t>
      </w:r>
      <w:r w:rsidRPr="006216A4">
        <w:rPr>
          <w:rFonts w:ascii="Times New Roman" w:hAnsi="Times New Roman" w:cs="Times New Roman"/>
          <w:b/>
          <w:lang w:val="uk-UA"/>
        </w:rPr>
        <w:t xml:space="preserve"> 40</w:t>
      </w:r>
      <w:r w:rsidR="00BB0A6C" w:rsidRPr="006216A4">
        <w:rPr>
          <w:rFonts w:ascii="Times New Roman" w:hAnsi="Times New Roman" w:cs="Times New Roman"/>
          <w:b/>
          <w:lang w:val="uk-UA"/>
        </w:rPr>
        <w:t>2370</w:t>
      </w:r>
      <w:r w:rsidRPr="006216A4">
        <w:rPr>
          <w:rFonts w:ascii="Times New Roman" w:hAnsi="Times New Roman" w:cs="Times New Roman"/>
          <w:b/>
          <w:lang w:val="uk-UA"/>
        </w:rPr>
        <w:t>-UA</w:t>
      </w:r>
      <w:r w:rsidR="00BB0A6C" w:rsidRPr="006216A4">
        <w:rPr>
          <w:rFonts w:ascii="Times New Roman" w:hAnsi="Times New Roman" w:cs="Times New Roman"/>
          <w:b/>
          <w:lang w:val="uk-UA"/>
        </w:rPr>
        <w:t>4000143838</w:t>
      </w:r>
      <w:r w:rsidRPr="002E099F">
        <w:rPr>
          <w:rFonts w:ascii="Times New Roman" w:hAnsi="Times New Roman" w:cs="Times New Roman"/>
          <w:lang w:val="uk-UA"/>
        </w:rPr>
        <w:t>.</w:t>
      </w:r>
    </w:p>
    <w:p w:rsidR="00744F10" w:rsidRPr="002E099F" w:rsidRDefault="00744F10" w:rsidP="002E099F">
      <w:pPr>
        <w:jc w:val="both"/>
        <w:rPr>
          <w:rFonts w:ascii="Times New Roman" w:hAnsi="Times New Roman" w:cs="Times New Roman"/>
          <w:lang w:val="uk-UA"/>
        </w:rPr>
      </w:pPr>
      <w:proofErr w:type="spellStart"/>
      <w:r>
        <w:rPr>
          <w:rFonts w:ascii="Times New Roman" w:hAnsi="Times New Roman" w:cs="Times New Roman"/>
          <w:lang w:val="uk-UA"/>
        </w:rPr>
        <w:t>Гільдін</w:t>
      </w:r>
      <w:proofErr w:type="spellEnd"/>
      <w:r>
        <w:rPr>
          <w:rFonts w:ascii="Times New Roman" w:hAnsi="Times New Roman" w:cs="Times New Roman"/>
          <w:lang w:val="uk-UA"/>
        </w:rPr>
        <w:t xml:space="preserve"> Олег Ігорович</w:t>
      </w:r>
    </w:p>
    <w:tbl>
      <w:tblPr>
        <w:tblW w:w="5025" w:type="pct"/>
        <w:tblInd w:w="-8"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4326"/>
        <w:gridCol w:w="6057"/>
      </w:tblGrid>
      <w:tr w:rsidR="002E099F" w:rsidRPr="00F937F5" w:rsidTr="003B191A">
        <w:trPr>
          <w:trHeight w:val="615"/>
        </w:trPr>
        <w:tc>
          <w:tcPr>
            <w:tcW w:w="4326" w:type="dxa"/>
            <w:tcBorders>
              <w:left w:val="single" w:sz="6" w:space="0" w:color="C5C5C5"/>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  </w:t>
            </w:r>
          </w:p>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 </w:t>
            </w:r>
          </w:p>
        </w:tc>
        <w:tc>
          <w:tcPr>
            <w:tcW w:w="6056" w:type="dxa"/>
            <w:tcBorders>
              <w:left w:val="single" w:sz="6" w:space="0" w:color="C5C5C5"/>
            </w:tcBorders>
            <w:shd w:val="clear" w:color="auto" w:fill="DFE2E7"/>
            <w:vAlign w:val="center"/>
            <w:hideMark/>
          </w:tcPr>
          <w:p w:rsidR="002E099F" w:rsidRPr="002E099F" w:rsidRDefault="002E099F" w:rsidP="003B191A">
            <w:pPr>
              <w:jc w:val="right"/>
              <w:rPr>
                <w:rFonts w:ascii="Times New Roman" w:hAnsi="Times New Roman" w:cs="Times New Roman"/>
                <w:lang w:val="uk-UA"/>
              </w:rPr>
            </w:pPr>
            <w:r w:rsidRPr="002E099F">
              <w:rPr>
                <w:rFonts w:ascii="Times New Roman" w:hAnsi="Times New Roman" w:cs="Times New Roman"/>
                <w:lang w:val="uk-UA"/>
              </w:rPr>
              <w:t>Додаток 1</w:t>
            </w:r>
            <w:r w:rsidRPr="002E099F">
              <w:rPr>
                <w:rFonts w:ascii="Times New Roman" w:hAnsi="Times New Roman" w:cs="Times New Roman"/>
                <w:lang w:val="uk-UA"/>
              </w:rPr>
              <w:br/>
              <w:t xml:space="preserve">до </w:t>
            </w:r>
            <w:r w:rsidR="003B191A">
              <w:rPr>
                <w:rFonts w:ascii="Times New Roman" w:hAnsi="Times New Roman" w:cs="Times New Roman"/>
                <w:lang w:val="uk-UA"/>
              </w:rPr>
              <w:t>повідомлення</w:t>
            </w:r>
          </w:p>
        </w:tc>
      </w:tr>
    </w:tbl>
    <w:p w:rsidR="002E099F" w:rsidRPr="002E099F" w:rsidRDefault="002E099F" w:rsidP="00BB0A6C">
      <w:pPr>
        <w:jc w:val="center"/>
        <w:rPr>
          <w:rFonts w:ascii="Times New Roman" w:hAnsi="Times New Roman" w:cs="Times New Roman"/>
          <w:lang w:val="uk-UA"/>
        </w:rPr>
      </w:pPr>
      <w:r w:rsidRPr="002E099F">
        <w:rPr>
          <w:rFonts w:ascii="Times New Roman" w:hAnsi="Times New Roman" w:cs="Times New Roman"/>
          <w:lang w:val="uk-UA"/>
        </w:rPr>
        <w:t>ФОРМА</w:t>
      </w:r>
      <w:r w:rsidRPr="002E099F">
        <w:rPr>
          <w:rFonts w:ascii="Times New Roman" w:hAnsi="Times New Roman" w:cs="Times New Roman"/>
          <w:lang w:val="uk-UA"/>
        </w:rPr>
        <w:br/>
        <w:t>і обсяг інформації про структуру власності особи та її афілійованих осіб (якщо станом на дату повідомлення афілійованим особам належали акції товариства), що міститься в повідомленні про набуття права власності на домінуючий контрольний пакет акцій</w:t>
      </w:r>
    </w:p>
    <w:tbl>
      <w:tblPr>
        <w:tblW w:w="10348" w:type="dxa"/>
        <w:tblInd w:w="-8" w:type="dxa"/>
        <w:tblBorders>
          <w:top w:val="single" w:sz="6" w:space="0" w:color="C5C5C5"/>
          <w:left w:val="single" w:sz="6" w:space="0" w:color="C5C5C5"/>
          <w:bottom w:val="single" w:sz="6" w:space="0" w:color="C5C5C5"/>
          <w:right w:val="single" w:sz="6" w:space="0" w:color="C5C5C5"/>
        </w:tblBorders>
        <w:shd w:val="clear" w:color="auto" w:fill="DFE2E7"/>
        <w:tblLayout w:type="fixed"/>
        <w:tblCellMar>
          <w:left w:w="0" w:type="dxa"/>
          <w:right w:w="0" w:type="dxa"/>
        </w:tblCellMar>
        <w:tblLook w:val="04A0" w:firstRow="1" w:lastRow="0" w:firstColumn="1" w:lastColumn="0" w:noHBand="0" w:noVBand="1"/>
      </w:tblPr>
      <w:tblGrid>
        <w:gridCol w:w="284"/>
        <w:gridCol w:w="1984"/>
        <w:gridCol w:w="709"/>
        <w:gridCol w:w="828"/>
        <w:gridCol w:w="806"/>
        <w:gridCol w:w="1059"/>
        <w:gridCol w:w="993"/>
        <w:gridCol w:w="1984"/>
        <w:gridCol w:w="1701"/>
      </w:tblGrid>
      <w:tr w:rsidR="002E099F" w:rsidRPr="00F3238B" w:rsidTr="003B191A">
        <w:trPr>
          <w:trHeight w:val="615"/>
        </w:trPr>
        <w:tc>
          <w:tcPr>
            <w:tcW w:w="10348" w:type="dxa"/>
            <w:gridSpan w:val="9"/>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744F10">
            <w:pPr>
              <w:jc w:val="center"/>
              <w:rPr>
                <w:rFonts w:ascii="Times New Roman" w:hAnsi="Times New Roman" w:cs="Times New Roman"/>
                <w:lang w:val="uk-UA"/>
              </w:rPr>
            </w:pPr>
            <w:r w:rsidRPr="002E099F">
              <w:rPr>
                <w:rFonts w:ascii="Times New Roman" w:hAnsi="Times New Roman" w:cs="Times New Roman"/>
                <w:lang w:val="uk-UA"/>
              </w:rPr>
              <w:t>Структу</w:t>
            </w:r>
            <w:r w:rsidR="00744F10">
              <w:rPr>
                <w:rFonts w:ascii="Times New Roman" w:hAnsi="Times New Roman" w:cs="Times New Roman"/>
                <w:lang w:val="uk-UA"/>
              </w:rPr>
              <w:t>ра власності </w:t>
            </w:r>
            <w:r w:rsidRPr="002E099F">
              <w:rPr>
                <w:rFonts w:ascii="Times New Roman" w:hAnsi="Times New Roman" w:cs="Times New Roman"/>
                <w:lang w:val="uk-UA"/>
              </w:rPr>
              <w:t xml:space="preserve">особи, що набула право власності на домінуючий контрольний пакет акцій акціонерного товариства, та її афілійованих осіб (якщо станом на дату повідомлення афілійованим особам належали акції товариства) станом на </w:t>
            </w:r>
            <w:r w:rsidR="00744F10" w:rsidRPr="006216A4">
              <w:rPr>
                <w:rFonts w:ascii="Times New Roman" w:hAnsi="Times New Roman" w:cs="Times New Roman"/>
                <w:b/>
                <w:lang w:val="uk-UA"/>
              </w:rPr>
              <w:t>25 листопада</w:t>
            </w:r>
            <w:r w:rsidRPr="006216A4">
              <w:rPr>
                <w:rFonts w:ascii="Times New Roman" w:hAnsi="Times New Roman" w:cs="Times New Roman"/>
                <w:b/>
                <w:lang w:val="uk-UA"/>
              </w:rPr>
              <w:t xml:space="preserve"> 2020 року</w:t>
            </w:r>
          </w:p>
        </w:tc>
      </w:tr>
      <w:tr w:rsidR="002E099F" w:rsidRPr="00F3238B" w:rsidTr="006216A4">
        <w:trPr>
          <w:trHeight w:val="615"/>
        </w:trPr>
        <w:tc>
          <w:tcPr>
            <w:tcW w:w="284"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 з/п</w:t>
            </w:r>
          </w:p>
        </w:tc>
        <w:tc>
          <w:tcPr>
            <w:tcW w:w="1984"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Прізвище, ім’я та по батькові фізичної особи або повне найменування юридичної особи</w:t>
            </w:r>
          </w:p>
        </w:tc>
        <w:tc>
          <w:tcPr>
            <w:tcW w:w="709"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Тип особи</w:t>
            </w:r>
          </w:p>
        </w:tc>
        <w:tc>
          <w:tcPr>
            <w:tcW w:w="828"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Тип участі у набутті домінуючого контрольного пакета акцій</w:t>
            </w:r>
          </w:p>
        </w:tc>
        <w:tc>
          <w:tcPr>
            <w:tcW w:w="2858" w:type="dxa"/>
            <w:gridSpan w:val="3"/>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Участь особи в товаристві, %</w:t>
            </w:r>
          </w:p>
        </w:tc>
        <w:tc>
          <w:tcPr>
            <w:tcW w:w="1984"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 xml:space="preserve">Кінцевий </w:t>
            </w:r>
            <w:proofErr w:type="spellStart"/>
            <w:r w:rsidRPr="002E099F">
              <w:rPr>
                <w:rFonts w:ascii="Times New Roman" w:hAnsi="Times New Roman" w:cs="Times New Roman"/>
                <w:lang w:val="uk-UA"/>
              </w:rPr>
              <w:t>бенефіціарний</w:t>
            </w:r>
            <w:proofErr w:type="spellEnd"/>
            <w:r w:rsidRPr="002E099F">
              <w:rPr>
                <w:rFonts w:ascii="Times New Roman" w:hAnsi="Times New Roman" w:cs="Times New Roman"/>
                <w:lang w:val="uk-UA"/>
              </w:rPr>
              <w:t xml:space="preserve"> власник (контролер) особи (для юридичних осіб)</w:t>
            </w:r>
          </w:p>
        </w:tc>
        <w:tc>
          <w:tcPr>
            <w:tcW w:w="1701"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Кількість акцій товариства, що належали третім особам до набуття особою домінуючого контрольного пакета акцій товариства</w:t>
            </w:r>
          </w:p>
        </w:tc>
      </w:tr>
      <w:tr w:rsidR="00BB0A6C" w:rsidRPr="002E099F" w:rsidTr="006216A4">
        <w:trPr>
          <w:trHeight w:val="615"/>
        </w:trPr>
        <w:tc>
          <w:tcPr>
            <w:tcW w:w="284"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p>
        </w:tc>
        <w:tc>
          <w:tcPr>
            <w:tcW w:w="1984"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p>
        </w:tc>
        <w:tc>
          <w:tcPr>
            <w:tcW w:w="709"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p>
        </w:tc>
        <w:tc>
          <w:tcPr>
            <w:tcW w:w="828"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p>
        </w:tc>
        <w:tc>
          <w:tcPr>
            <w:tcW w:w="806"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пряма</w:t>
            </w:r>
          </w:p>
        </w:tc>
        <w:tc>
          <w:tcPr>
            <w:tcW w:w="105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опосередкована</w:t>
            </w:r>
          </w:p>
        </w:tc>
        <w:tc>
          <w:tcPr>
            <w:tcW w:w="993"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сукупна</w:t>
            </w:r>
          </w:p>
        </w:tc>
        <w:tc>
          <w:tcPr>
            <w:tcW w:w="1984"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p>
        </w:tc>
        <w:tc>
          <w:tcPr>
            <w:tcW w:w="1701"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p>
        </w:tc>
      </w:tr>
      <w:tr w:rsidR="002E099F" w:rsidRPr="002E099F" w:rsidTr="006216A4">
        <w:trPr>
          <w:trHeight w:val="615"/>
        </w:trPr>
        <w:tc>
          <w:tcPr>
            <w:tcW w:w="284"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1</w:t>
            </w:r>
          </w:p>
        </w:tc>
        <w:tc>
          <w:tcPr>
            <w:tcW w:w="1984"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2</w:t>
            </w:r>
          </w:p>
        </w:tc>
        <w:tc>
          <w:tcPr>
            <w:tcW w:w="70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3</w:t>
            </w:r>
          </w:p>
        </w:tc>
        <w:tc>
          <w:tcPr>
            <w:tcW w:w="828"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4</w:t>
            </w:r>
          </w:p>
        </w:tc>
        <w:tc>
          <w:tcPr>
            <w:tcW w:w="806"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5</w:t>
            </w:r>
          </w:p>
        </w:tc>
        <w:tc>
          <w:tcPr>
            <w:tcW w:w="105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6</w:t>
            </w:r>
          </w:p>
        </w:tc>
        <w:tc>
          <w:tcPr>
            <w:tcW w:w="993"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7</w:t>
            </w:r>
          </w:p>
        </w:tc>
        <w:tc>
          <w:tcPr>
            <w:tcW w:w="1984"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8</w:t>
            </w:r>
          </w:p>
        </w:tc>
        <w:tc>
          <w:tcPr>
            <w:tcW w:w="1701"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9</w:t>
            </w:r>
          </w:p>
        </w:tc>
      </w:tr>
      <w:tr w:rsidR="002E099F" w:rsidRPr="002E099F" w:rsidTr="006216A4">
        <w:trPr>
          <w:trHeight w:val="615"/>
        </w:trPr>
        <w:tc>
          <w:tcPr>
            <w:tcW w:w="284"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lang w:val="uk-UA"/>
              </w:rPr>
              <w:t>1</w:t>
            </w:r>
          </w:p>
        </w:tc>
        <w:tc>
          <w:tcPr>
            <w:tcW w:w="1984"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Default="00BB0A6C" w:rsidP="002E099F">
            <w:pPr>
              <w:jc w:val="both"/>
              <w:rPr>
                <w:rFonts w:ascii="Times New Roman" w:hAnsi="Times New Roman" w:cs="Times New Roman"/>
                <w:b/>
                <w:bCs/>
                <w:lang w:val="uk-UA"/>
              </w:rPr>
            </w:pPr>
            <w:proofErr w:type="spellStart"/>
            <w:r>
              <w:rPr>
                <w:rFonts w:ascii="Times New Roman" w:hAnsi="Times New Roman" w:cs="Times New Roman"/>
                <w:b/>
                <w:bCs/>
                <w:lang w:val="uk-UA"/>
              </w:rPr>
              <w:t>Гільдін</w:t>
            </w:r>
            <w:proofErr w:type="spellEnd"/>
            <w:r>
              <w:rPr>
                <w:rFonts w:ascii="Times New Roman" w:hAnsi="Times New Roman" w:cs="Times New Roman"/>
                <w:b/>
                <w:bCs/>
                <w:lang w:val="uk-UA"/>
              </w:rPr>
              <w:t xml:space="preserve"> Олег Ігорович</w:t>
            </w:r>
          </w:p>
          <w:p w:rsidR="00BB0A6C" w:rsidRPr="002E099F" w:rsidRDefault="00744F10" w:rsidP="002E099F">
            <w:pPr>
              <w:jc w:val="both"/>
              <w:rPr>
                <w:rFonts w:ascii="Times New Roman" w:hAnsi="Times New Roman" w:cs="Times New Roman"/>
                <w:lang w:val="uk-UA"/>
              </w:rPr>
            </w:pPr>
            <w:r>
              <w:rPr>
                <w:rFonts w:ascii="Times New Roman" w:hAnsi="Times New Roman" w:cs="Times New Roman"/>
                <w:b/>
                <w:bCs/>
                <w:lang w:val="uk-UA"/>
              </w:rPr>
              <w:t>м</w:t>
            </w:r>
            <w:r w:rsidR="00BB0A6C">
              <w:rPr>
                <w:rFonts w:ascii="Times New Roman" w:hAnsi="Times New Roman" w:cs="Times New Roman"/>
                <w:b/>
                <w:bCs/>
                <w:lang w:val="uk-UA"/>
              </w:rPr>
              <w:t>. Дніпро</w:t>
            </w:r>
            <w:r>
              <w:rPr>
                <w:rFonts w:ascii="Times New Roman" w:hAnsi="Times New Roman" w:cs="Times New Roman"/>
                <w:b/>
                <w:bCs/>
                <w:lang w:val="uk-UA"/>
              </w:rPr>
              <w:t>, вул. Свєтлова, 4 (</w:t>
            </w:r>
            <w:proofErr w:type="spellStart"/>
            <w:r>
              <w:rPr>
                <w:rFonts w:ascii="Times New Roman" w:hAnsi="Times New Roman" w:cs="Times New Roman"/>
                <w:b/>
                <w:bCs/>
                <w:lang w:val="uk-UA"/>
              </w:rPr>
              <w:t>ч.б</w:t>
            </w:r>
            <w:proofErr w:type="spellEnd"/>
            <w:r>
              <w:rPr>
                <w:rFonts w:ascii="Times New Roman" w:hAnsi="Times New Roman" w:cs="Times New Roman"/>
                <w:b/>
                <w:bCs/>
                <w:lang w:val="uk-UA"/>
              </w:rPr>
              <w:t>.)</w:t>
            </w:r>
          </w:p>
        </w:tc>
        <w:tc>
          <w:tcPr>
            <w:tcW w:w="70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BB0A6C" w:rsidP="004517DB">
            <w:pPr>
              <w:jc w:val="center"/>
              <w:rPr>
                <w:rFonts w:ascii="Times New Roman" w:hAnsi="Times New Roman" w:cs="Times New Roman"/>
                <w:lang w:val="uk-UA"/>
              </w:rPr>
            </w:pPr>
            <w:r>
              <w:rPr>
                <w:rFonts w:ascii="Times New Roman" w:hAnsi="Times New Roman" w:cs="Times New Roman"/>
                <w:b/>
                <w:bCs/>
                <w:lang w:val="uk-UA"/>
              </w:rPr>
              <w:t>Ф</w:t>
            </w:r>
            <w:r w:rsidR="002E099F" w:rsidRPr="002E099F">
              <w:rPr>
                <w:rFonts w:ascii="Times New Roman" w:hAnsi="Times New Roman" w:cs="Times New Roman"/>
                <w:b/>
                <w:bCs/>
                <w:lang w:val="uk-UA"/>
              </w:rPr>
              <w:t>О</w:t>
            </w:r>
          </w:p>
        </w:tc>
        <w:tc>
          <w:tcPr>
            <w:tcW w:w="828"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4517DB">
            <w:pPr>
              <w:jc w:val="center"/>
              <w:rPr>
                <w:rFonts w:ascii="Times New Roman" w:hAnsi="Times New Roman" w:cs="Times New Roman"/>
                <w:lang w:val="uk-UA"/>
              </w:rPr>
            </w:pPr>
            <w:r w:rsidRPr="002E099F">
              <w:rPr>
                <w:rFonts w:ascii="Times New Roman" w:hAnsi="Times New Roman" w:cs="Times New Roman"/>
                <w:b/>
                <w:bCs/>
                <w:lang w:val="uk-UA"/>
              </w:rPr>
              <w:t>1</w:t>
            </w:r>
          </w:p>
        </w:tc>
        <w:tc>
          <w:tcPr>
            <w:tcW w:w="806"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BB0A6C" w:rsidP="004517DB">
            <w:pPr>
              <w:jc w:val="center"/>
              <w:rPr>
                <w:rFonts w:ascii="Times New Roman" w:hAnsi="Times New Roman" w:cs="Times New Roman"/>
                <w:lang w:val="uk-UA"/>
              </w:rPr>
            </w:pPr>
            <w:r>
              <w:rPr>
                <w:rFonts w:ascii="Times New Roman" w:hAnsi="Times New Roman" w:cs="Times New Roman"/>
                <w:b/>
                <w:bCs/>
                <w:lang w:val="uk-UA"/>
              </w:rPr>
              <w:t>95,1294</w:t>
            </w:r>
          </w:p>
        </w:tc>
        <w:tc>
          <w:tcPr>
            <w:tcW w:w="105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4517DB">
            <w:pPr>
              <w:jc w:val="center"/>
              <w:rPr>
                <w:rFonts w:ascii="Times New Roman" w:hAnsi="Times New Roman" w:cs="Times New Roman"/>
                <w:lang w:val="uk-UA"/>
              </w:rPr>
            </w:pPr>
            <w:r w:rsidRPr="002E099F">
              <w:rPr>
                <w:rFonts w:ascii="Times New Roman" w:hAnsi="Times New Roman" w:cs="Times New Roman"/>
                <w:b/>
                <w:bCs/>
                <w:lang w:val="uk-UA"/>
              </w:rPr>
              <w:t>-</w:t>
            </w:r>
          </w:p>
        </w:tc>
        <w:tc>
          <w:tcPr>
            <w:tcW w:w="993"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BB0A6C" w:rsidP="004517DB">
            <w:pPr>
              <w:jc w:val="center"/>
              <w:rPr>
                <w:rFonts w:ascii="Times New Roman" w:hAnsi="Times New Roman" w:cs="Times New Roman"/>
                <w:lang w:val="uk-UA"/>
              </w:rPr>
            </w:pPr>
            <w:r>
              <w:rPr>
                <w:rFonts w:ascii="Times New Roman" w:hAnsi="Times New Roman" w:cs="Times New Roman"/>
                <w:b/>
                <w:bCs/>
                <w:lang w:val="uk-UA"/>
              </w:rPr>
              <w:t>95,1294</w:t>
            </w:r>
          </w:p>
        </w:tc>
        <w:tc>
          <w:tcPr>
            <w:tcW w:w="1984"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2E099F">
            <w:pPr>
              <w:jc w:val="both"/>
              <w:rPr>
                <w:rFonts w:ascii="Times New Roman" w:hAnsi="Times New Roman" w:cs="Times New Roman"/>
                <w:lang w:val="uk-UA"/>
              </w:rPr>
            </w:pPr>
            <w:r w:rsidRPr="002E099F">
              <w:rPr>
                <w:rFonts w:ascii="Times New Roman" w:hAnsi="Times New Roman" w:cs="Times New Roman"/>
                <w:b/>
                <w:bCs/>
                <w:lang w:val="uk-UA"/>
              </w:rPr>
              <w:t> </w:t>
            </w:r>
            <w:proofErr w:type="spellStart"/>
            <w:r w:rsidR="00BB0A6C">
              <w:rPr>
                <w:rFonts w:ascii="Times New Roman" w:hAnsi="Times New Roman" w:cs="Times New Roman"/>
                <w:b/>
                <w:bCs/>
                <w:lang w:val="uk-UA"/>
              </w:rPr>
              <w:t>Гільдін</w:t>
            </w:r>
            <w:proofErr w:type="spellEnd"/>
            <w:r w:rsidR="00BB0A6C">
              <w:rPr>
                <w:rFonts w:ascii="Times New Roman" w:hAnsi="Times New Roman" w:cs="Times New Roman"/>
                <w:b/>
                <w:bCs/>
                <w:lang w:val="uk-UA"/>
              </w:rPr>
              <w:t xml:space="preserve"> Олег Ігорович</w:t>
            </w:r>
          </w:p>
          <w:p w:rsidR="002E099F" w:rsidRPr="002E099F" w:rsidRDefault="00744F10" w:rsidP="00BB0A6C">
            <w:pPr>
              <w:jc w:val="both"/>
              <w:rPr>
                <w:rFonts w:ascii="Times New Roman" w:hAnsi="Times New Roman" w:cs="Times New Roman"/>
                <w:lang w:val="uk-UA"/>
              </w:rPr>
            </w:pPr>
            <w:r>
              <w:rPr>
                <w:rFonts w:ascii="Times New Roman" w:hAnsi="Times New Roman" w:cs="Times New Roman"/>
                <w:b/>
                <w:bCs/>
                <w:lang w:val="uk-UA"/>
              </w:rPr>
              <w:t>м</w:t>
            </w:r>
            <w:r w:rsidR="00BB0A6C">
              <w:rPr>
                <w:rFonts w:ascii="Times New Roman" w:hAnsi="Times New Roman" w:cs="Times New Roman"/>
                <w:b/>
                <w:bCs/>
                <w:lang w:val="uk-UA"/>
              </w:rPr>
              <w:t>.</w:t>
            </w:r>
            <w:r>
              <w:rPr>
                <w:rFonts w:ascii="Times New Roman" w:hAnsi="Times New Roman" w:cs="Times New Roman"/>
                <w:b/>
                <w:bCs/>
                <w:lang w:val="uk-UA"/>
              </w:rPr>
              <w:t xml:space="preserve"> </w:t>
            </w:r>
            <w:r w:rsidR="00BB0A6C">
              <w:rPr>
                <w:rFonts w:ascii="Times New Roman" w:hAnsi="Times New Roman" w:cs="Times New Roman"/>
                <w:b/>
                <w:bCs/>
                <w:lang w:val="uk-UA"/>
              </w:rPr>
              <w:t>Дніпро, вул. Свєтлова, 4 (</w:t>
            </w:r>
            <w:proofErr w:type="spellStart"/>
            <w:r w:rsidR="00BB0A6C">
              <w:rPr>
                <w:rFonts w:ascii="Times New Roman" w:hAnsi="Times New Roman" w:cs="Times New Roman"/>
                <w:b/>
                <w:bCs/>
                <w:lang w:val="uk-UA"/>
              </w:rPr>
              <w:t>ч.б</w:t>
            </w:r>
            <w:proofErr w:type="spellEnd"/>
            <w:r w:rsidR="00BB0A6C">
              <w:rPr>
                <w:rFonts w:ascii="Times New Roman" w:hAnsi="Times New Roman" w:cs="Times New Roman"/>
                <w:b/>
                <w:bCs/>
                <w:lang w:val="uk-UA"/>
              </w:rPr>
              <w:t>.)</w:t>
            </w:r>
          </w:p>
        </w:tc>
        <w:tc>
          <w:tcPr>
            <w:tcW w:w="1701"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2E099F" w:rsidRPr="002E099F" w:rsidRDefault="002E099F" w:rsidP="004517DB">
            <w:pPr>
              <w:jc w:val="center"/>
              <w:rPr>
                <w:rFonts w:ascii="Times New Roman" w:hAnsi="Times New Roman" w:cs="Times New Roman"/>
                <w:lang w:val="uk-UA"/>
              </w:rPr>
            </w:pPr>
            <w:r w:rsidRPr="002E099F">
              <w:rPr>
                <w:rFonts w:ascii="Times New Roman" w:hAnsi="Times New Roman" w:cs="Times New Roman"/>
                <w:b/>
                <w:bCs/>
                <w:lang w:val="uk-UA"/>
              </w:rPr>
              <w:t>-</w:t>
            </w:r>
          </w:p>
        </w:tc>
      </w:tr>
    </w:tbl>
    <w:p w:rsidR="000B3489" w:rsidRDefault="000B3489" w:rsidP="003B191A">
      <w:pPr>
        <w:jc w:val="both"/>
        <w:rPr>
          <w:rFonts w:ascii="Times New Roman" w:hAnsi="Times New Roman" w:cs="Times New Roman"/>
          <w:lang w:val="uk-UA"/>
        </w:rPr>
      </w:pPr>
    </w:p>
    <w:p w:rsidR="000B3489" w:rsidRDefault="000B3489" w:rsidP="003B191A">
      <w:pPr>
        <w:jc w:val="both"/>
        <w:rPr>
          <w:rFonts w:ascii="Times New Roman" w:hAnsi="Times New Roman" w:cs="Times New Roman"/>
          <w:lang w:val="uk-UA"/>
        </w:rPr>
      </w:pPr>
    </w:p>
    <w:p w:rsidR="00CB136A" w:rsidRPr="002E099F" w:rsidRDefault="000B3489" w:rsidP="003B191A">
      <w:pPr>
        <w:jc w:val="both"/>
        <w:rPr>
          <w:rFonts w:ascii="Times New Roman" w:hAnsi="Times New Roman" w:cs="Times New Roman"/>
          <w:lang w:val="uk-UA"/>
        </w:rPr>
      </w:pPr>
      <w:proofErr w:type="spellStart"/>
      <w:r w:rsidRPr="000B3489">
        <w:rPr>
          <w:rFonts w:ascii="Times New Roman" w:hAnsi="Times New Roman" w:cs="Times New Roman"/>
          <w:lang w:val="uk-UA"/>
        </w:rPr>
        <w:t>Гільдін</w:t>
      </w:r>
      <w:proofErr w:type="spellEnd"/>
      <w:r w:rsidRPr="000B3489">
        <w:rPr>
          <w:rFonts w:ascii="Times New Roman" w:hAnsi="Times New Roman" w:cs="Times New Roman"/>
          <w:lang w:val="uk-UA"/>
        </w:rPr>
        <w:t xml:space="preserve"> Олег Ігорович</w:t>
      </w:r>
    </w:p>
    <w:sectPr w:rsidR="00CB136A" w:rsidRPr="002E099F" w:rsidSect="003B191A">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65"/>
    <w:rsid w:val="000312C0"/>
    <w:rsid w:val="000B3489"/>
    <w:rsid w:val="000C2887"/>
    <w:rsid w:val="00164574"/>
    <w:rsid w:val="001D4159"/>
    <w:rsid w:val="002C3182"/>
    <w:rsid w:val="002E099F"/>
    <w:rsid w:val="00362168"/>
    <w:rsid w:val="003B191A"/>
    <w:rsid w:val="004517DB"/>
    <w:rsid w:val="006216A4"/>
    <w:rsid w:val="00744F10"/>
    <w:rsid w:val="007D7D58"/>
    <w:rsid w:val="0082745F"/>
    <w:rsid w:val="00B81899"/>
    <w:rsid w:val="00BB0A6C"/>
    <w:rsid w:val="00C07A6F"/>
    <w:rsid w:val="00CB136A"/>
    <w:rsid w:val="00E94032"/>
    <w:rsid w:val="00F3238B"/>
    <w:rsid w:val="00F37665"/>
    <w:rsid w:val="00F937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49B72-A6AC-4433-9EAE-D153F7A6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F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4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CEF92-42DE-4D37-A688-283F3078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Nadiya</dc:creator>
  <cp:keywords/>
  <dc:description/>
  <cp:lastModifiedBy>Olenka</cp:lastModifiedBy>
  <cp:revision>4</cp:revision>
  <cp:lastPrinted>2020-11-25T10:13:00Z</cp:lastPrinted>
  <dcterms:created xsi:type="dcterms:W3CDTF">2020-12-02T17:50:00Z</dcterms:created>
  <dcterms:modified xsi:type="dcterms:W3CDTF">2020-12-02T18:03:00Z</dcterms:modified>
</cp:coreProperties>
</file>